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3F" w:rsidRDefault="0008603F">
      <w:pPr>
        <w:pStyle w:val="a4"/>
        <w:suppressLineNumbers/>
        <w:spacing w:line="360" w:lineRule="auto"/>
        <w:rPr>
          <w:rFonts w:ascii="Times New Roman" w:hAnsi="Times New Roman" w:cs="Times New Roman"/>
          <w:b/>
          <w:sz w:val="24"/>
          <w:szCs w:val="24"/>
        </w:rPr>
      </w:pPr>
    </w:p>
    <w:p w:rsidR="0008603F" w:rsidRDefault="004C673F">
      <w:pPr>
        <w:widowControl/>
        <w:kinsoku w:val="0"/>
        <w:autoSpaceDE w:val="0"/>
        <w:autoSpaceDN w:val="0"/>
        <w:adjustRightInd w:val="0"/>
        <w:snapToGrid w:val="0"/>
        <w:spacing w:line="360" w:lineRule="auto"/>
        <w:jc w:val="center"/>
        <w:textAlignment w:val="baseline"/>
        <w:rPr>
          <w:snapToGrid w:val="0"/>
          <w:color w:val="000000"/>
          <w:kern w:val="0"/>
        </w:rPr>
      </w:pPr>
      <w:r>
        <w:rPr>
          <w:b/>
          <w:sz w:val="24"/>
          <w:szCs w:val="24"/>
        </w:rPr>
        <w:t>4255</w:t>
      </w:r>
      <w:r>
        <w:rPr>
          <w:b/>
          <w:sz w:val="24"/>
          <w:szCs w:val="24"/>
        </w:rPr>
        <w:t>金属涂料涂层双酚</w:t>
      </w:r>
      <w:r>
        <w:rPr>
          <w:b/>
          <w:sz w:val="24"/>
          <w:szCs w:val="24"/>
        </w:rPr>
        <w:t>A</w:t>
      </w:r>
      <w:r>
        <w:rPr>
          <w:b/>
          <w:sz w:val="24"/>
          <w:szCs w:val="24"/>
        </w:rPr>
        <w:t>单体</w:t>
      </w:r>
      <w:r>
        <w:rPr>
          <w:rFonts w:hint="eastAsia"/>
          <w:b/>
          <w:sz w:val="24"/>
          <w:szCs w:val="24"/>
        </w:rPr>
        <w:t>浸出量</w:t>
      </w:r>
      <w:r>
        <w:rPr>
          <w:b/>
          <w:sz w:val="24"/>
          <w:szCs w:val="24"/>
        </w:rPr>
        <w:t>测定法</w:t>
      </w:r>
    </w:p>
    <w:p w:rsidR="0008603F" w:rsidRDefault="004C673F">
      <w:pPr>
        <w:widowControl/>
        <w:spacing w:line="360" w:lineRule="auto"/>
        <w:ind w:firstLineChars="200" w:firstLine="480"/>
        <w:jc w:val="left"/>
        <w:rPr>
          <w:color w:val="000000" w:themeColor="text1"/>
          <w:sz w:val="24"/>
          <w:szCs w:val="24"/>
        </w:rPr>
      </w:pPr>
      <w:bookmarkStart w:id="0" w:name="_Hlk102510732"/>
      <w:r>
        <w:rPr>
          <w:color w:val="000000" w:themeColor="text1"/>
          <w:sz w:val="24"/>
          <w:szCs w:val="24"/>
        </w:rPr>
        <w:t>金属涂料涂层双酚</w:t>
      </w:r>
      <w:r>
        <w:rPr>
          <w:color w:val="000000" w:themeColor="text1"/>
          <w:sz w:val="24"/>
          <w:szCs w:val="24"/>
        </w:rPr>
        <w:t>A</w:t>
      </w:r>
      <w:r>
        <w:rPr>
          <w:color w:val="000000" w:themeColor="text1"/>
          <w:sz w:val="24"/>
          <w:szCs w:val="24"/>
        </w:rPr>
        <w:t>单体</w:t>
      </w:r>
      <w:r>
        <w:rPr>
          <w:rFonts w:hint="eastAsia"/>
          <w:color w:val="000000" w:themeColor="text1"/>
          <w:sz w:val="24"/>
          <w:szCs w:val="24"/>
        </w:rPr>
        <w:t>浸出量</w:t>
      </w:r>
      <w:r>
        <w:rPr>
          <w:color w:val="000000" w:themeColor="text1"/>
          <w:sz w:val="24"/>
          <w:szCs w:val="24"/>
        </w:rPr>
        <w:t>测定法系指将带有双酚</w:t>
      </w:r>
      <w:r>
        <w:rPr>
          <w:color w:val="000000" w:themeColor="text1"/>
          <w:sz w:val="24"/>
          <w:szCs w:val="24"/>
        </w:rPr>
        <w:t>A</w:t>
      </w:r>
      <w:r>
        <w:rPr>
          <w:color w:val="000000" w:themeColor="text1"/>
          <w:sz w:val="24"/>
          <w:szCs w:val="24"/>
        </w:rPr>
        <w:t>作为单体聚合而成的酚醛树脂涂层涂料的药品包装系统用金属材料和容器经适当方法提取后，双酚</w:t>
      </w:r>
      <w:r>
        <w:rPr>
          <w:color w:val="000000" w:themeColor="text1"/>
          <w:sz w:val="24"/>
          <w:szCs w:val="24"/>
        </w:rPr>
        <w:t>A</w:t>
      </w:r>
      <w:r>
        <w:rPr>
          <w:color w:val="000000" w:themeColor="text1"/>
          <w:sz w:val="24"/>
          <w:szCs w:val="24"/>
        </w:rPr>
        <w:t>单体溶解在提取溶剂中，照高效液相色谱法（通则</w:t>
      </w:r>
      <w:r>
        <w:rPr>
          <w:color w:val="000000" w:themeColor="text1"/>
          <w:sz w:val="24"/>
          <w:szCs w:val="24"/>
        </w:rPr>
        <w:t>0512</w:t>
      </w:r>
      <w:r>
        <w:rPr>
          <w:color w:val="000000" w:themeColor="text1"/>
          <w:sz w:val="24"/>
          <w:szCs w:val="24"/>
        </w:rPr>
        <w:t>）测定，以保留时间定性，以峰面积定量。</w:t>
      </w:r>
    </w:p>
    <w:p w:rsidR="0008603F" w:rsidRDefault="004C673F">
      <w:pPr>
        <w:widowControl/>
        <w:spacing w:line="360" w:lineRule="auto"/>
        <w:ind w:firstLineChars="200" w:firstLine="480"/>
        <w:jc w:val="left"/>
        <w:rPr>
          <w:color w:val="000000" w:themeColor="text1"/>
          <w:sz w:val="24"/>
          <w:szCs w:val="24"/>
        </w:rPr>
      </w:pPr>
      <w:r>
        <w:rPr>
          <w:color w:val="000000" w:themeColor="text1"/>
          <w:sz w:val="24"/>
          <w:szCs w:val="24"/>
        </w:rPr>
        <w:t>本法适用于金属涂料涂层双酚</w:t>
      </w:r>
      <w:r>
        <w:rPr>
          <w:color w:val="000000" w:themeColor="text1"/>
          <w:sz w:val="24"/>
          <w:szCs w:val="24"/>
        </w:rPr>
        <w:t>A</w:t>
      </w:r>
      <w:r>
        <w:rPr>
          <w:color w:val="000000" w:themeColor="text1"/>
          <w:sz w:val="24"/>
          <w:szCs w:val="24"/>
        </w:rPr>
        <w:t>单体</w:t>
      </w:r>
      <w:r>
        <w:rPr>
          <w:rFonts w:hint="eastAsia"/>
          <w:color w:val="000000" w:themeColor="text1"/>
          <w:sz w:val="24"/>
          <w:szCs w:val="24"/>
        </w:rPr>
        <w:t>浸出量</w:t>
      </w:r>
      <w:r>
        <w:rPr>
          <w:color w:val="000000" w:themeColor="text1"/>
          <w:sz w:val="24"/>
          <w:szCs w:val="24"/>
        </w:rPr>
        <w:t>的测定。</w:t>
      </w:r>
    </w:p>
    <w:p w:rsidR="0008603F" w:rsidRDefault="004C673F">
      <w:pPr>
        <w:widowControl/>
        <w:spacing w:line="360" w:lineRule="auto"/>
        <w:ind w:firstLineChars="200" w:firstLine="480"/>
        <w:jc w:val="left"/>
        <w:rPr>
          <w:color w:val="000000" w:themeColor="text1"/>
          <w:sz w:val="24"/>
          <w:szCs w:val="24"/>
        </w:rPr>
      </w:pPr>
      <w:r>
        <w:rPr>
          <w:color w:val="000000" w:themeColor="text1"/>
          <w:sz w:val="24"/>
          <w:szCs w:val="24"/>
        </w:rPr>
        <w:t>根据双酚</w:t>
      </w:r>
      <w:r>
        <w:rPr>
          <w:color w:val="000000" w:themeColor="text1"/>
          <w:sz w:val="24"/>
          <w:szCs w:val="24"/>
        </w:rPr>
        <w:t>A</w:t>
      </w:r>
      <w:r>
        <w:rPr>
          <w:color w:val="000000" w:themeColor="text1"/>
          <w:sz w:val="24"/>
          <w:szCs w:val="24"/>
        </w:rPr>
        <w:t>检测限度要求的不同，测定方法分为液相法和液相</w:t>
      </w:r>
      <w:r>
        <w:rPr>
          <w:color w:val="000000" w:themeColor="text1"/>
          <w:sz w:val="24"/>
          <w:szCs w:val="24"/>
        </w:rPr>
        <w:t>-</w:t>
      </w:r>
      <w:r>
        <w:rPr>
          <w:color w:val="000000" w:themeColor="text1"/>
          <w:sz w:val="24"/>
          <w:szCs w:val="24"/>
        </w:rPr>
        <w:t>质谱法。</w:t>
      </w:r>
    </w:p>
    <w:p w:rsidR="0008603F" w:rsidRDefault="004C673F">
      <w:pPr>
        <w:spacing w:line="360" w:lineRule="auto"/>
        <w:ind w:firstLineChars="200" w:firstLine="482"/>
        <w:rPr>
          <w:b/>
          <w:bCs/>
          <w:color w:val="000000" w:themeColor="text1"/>
          <w:sz w:val="24"/>
          <w:szCs w:val="24"/>
        </w:rPr>
      </w:pPr>
      <w:r>
        <w:rPr>
          <w:b/>
          <w:bCs/>
          <w:color w:val="000000" w:themeColor="text1"/>
          <w:sz w:val="24"/>
          <w:szCs w:val="24"/>
        </w:rPr>
        <w:t>供试品溶液的制备</w:t>
      </w:r>
      <w:r>
        <w:rPr>
          <w:b/>
          <w:bCs/>
          <w:color w:val="000000" w:themeColor="text1"/>
          <w:sz w:val="24"/>
          <w:szCs w:val="24"/>
        </w:rPr>
        <w:t xml:space="preserve"> </w:t>
      </w:r>
    </w:p>
    <w:p w:rsidR="0008603F" w:rsidRDefault="004C673F">
      <w:pPr>
        <w:spacing w:line="360" w:lineRule="auto"/>
        <w:ind w:firstLineChars="200" w:firstLine="480"/>
        <w:rPr>
          <w:color w:val="000000" w:themeColor="text1"/>
          <w:sz w:val="24"/>
          <w:szCs w:val="24"/>
        </w:rPr>
      </w:pPr>
      <w:r>
        <w:rPr>
          <w:sz w:val="24"/>
        </w:rPr>
        <w:t>取试样，照药品包装用金属组件和容器通则（通则</w:t>
      </w:r>
      <w:r>
        <w:rPr>
          <w:sz w:val="24"/>
        </w:rPr>
        <w:t>5400</w:t>
      </w:r>
      <w:bookmarkStart w:id="1" w:name="_GoBack"/>
      <w:bookmarkEnd w:id="1"/>
      <w:r>
        <w:rPr>
          <w:sz w:val="24"/>
        </w:rPr>
        <w:t>）要求制备供试品溶液。</w:t>
      </w:r>
      <w:r>
        <w:rPr>
          <w:color w:val="000000" w:themeColor="text1"/>
          <w:sz w:val="24"/>
          <w:szCs w:val="24"/>
        </w:rPr>
        <w:t>同法制备空白溶液。</w:t>
      </w:r>
    </w:p>
    <w:p w:rsidR="0008603F" w:rsidRDefault="004C673F">
      <w:pPr>
        <w:autoSpaceDE w:val="0"/>
        <w:autoSpaceDN w:val="0"/>
        <w:adjustRightInd w:val="0"/>
        <w:spacing w:line="360" w:lineRule="auto"/>
        <w:ind w:firstLine="482"/>
        <w:rPr>
          <w:b/>
          <w:bCs/>
          <w:sz w:val="24"/>
          <w:szCs w:val="24"/>
        </w:rPr>
      </w:pPr>
      <w:r>
        <w:rPr>
          <w:b/>
          <w:bCs/>
          <w:sz w:val="24"/>
          <w:szCs w:val="24"/>
        </w:rPr>
        <w:t>第一法</w:t>
      </w:r>
      <w:r>
        <w:rPr>
          <w:b/>
          <w:bCs/>
          <w:sz w:val="24"/>
          <w:szCs w:val="24"/>
        </w:rPr>
        <w:t xml:space="preserve"> </w:t>
      </w:r>
      <w:r>
        <w:rPr>
          <w:b/>
          <w:bCs/>
          <w:sz w:val="24"/>
          <w:szCs w:val="24"/>
        </w:rPr>
        <w:t>液相色谱法</w:t>
      </w:r>
    </w:p>
    <w:bookmarkEnd w:id="0"/>
    <w:p w:rsidR="0008603F" w:rsidRDefault="004C673F">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色谱条件与系统适用性要求</w:t>
      </w:r>
      <w:r>
        <w:rPr>
          <w:b/>
          <w:bCs/>
          <w:snapToGrid w:val="0"/>
          <w:color w:val="000000"/>
          <w:kern w:val="0"/>
          <w:sz w:val="24"/>
          <w:szCs w:val="24"/>
        </w:rPr>
        <w:t xml:space="preserve"> </w:t>
      </w:r>
      <w:r>
        <w:rPr>
          <w:sz w:val="24"/>
        </w:rPr>
        <w:t>用十八烷基硅烷键合硅胶为填充剂；以甲醇</w:t>
      </w:r>
      <w:r>
        <w:rPr>
          <w:rFonts w:hint="eastAsia"/>
          <w:sz w:val="24"/>
        </w:rPr>
        <w:t>-</w:t>
      </w:r>
      <w:r>
        <w:rPr>
          <w:sz w:val="24"/>
        </w:rPr>
        <w:t>水（</w:t>
      </w:r>
      <w:r>
        <w:rPr>
          <w:sz w:val="24"/>
        </w:rPr>
        <w:t>70:30</w:t>
      </w:r>
      <w:r>
        <w:rPr>
          <w:sz w:val="24"/>
        </w:rPr>
        <w:t>）为流动相；检测波长为</w:t>
      </w:r>
      <w:r>
        <w:rPr>
          <w:sz w:val="24"/>
        </w:rPr>
        <w:t>280nm</w:t>
      </w:r>
      <w:r>
        <w:rPr>
          <w:sz w:val="24"/>
        </w:rPr>
        <w:t>。精密量取双酚</w:t>
      </w:r>
      <w:r>
        <w:rPr>
          <w:sz w:val="24"/>
        </w:rPr>
        <w:t>A</w:t>
      </w:r>
      <w:r>
        <w:rPr>
          <w:sz w:val="24"/>
        </w:rPr>
        <w:t>标准贮备液适量，加供试品溶液稀释制成每</w:t>
      </w:r>
      <w:r>
        <w:rPr>
          <w:sz w:val="24"/>
        </w:rPr>
        <w:t>1ml</w:t>
      </w:r>
      <w:r>
        <w:rPr>
          <w:sz w:val="24"/>
        </w:rPr>
        <w:t>中约含</w:t>
      </w:r>
      <w:r>
        <w:rPr>
          <w:sz w:val="24"/>
        </w:rPr>
        <w:t>0.5mg</w:t>
      </w:r>
      <w:r>
        <w:rPr>
          <w:sz w:val="24"/>
        </w:rPr>
        <w:t>的溶液，作为系统适用性溶液，</w:t>
      </w:r>
      <w:r>
        <w:rPr>
          <w:sz w:val="24"/>
          <w:szCs w:val="24"/>
        </w:rPr>
        <w:t>取</w:t>
      </w:r>
      <w:r>
        <w:rPr>
          <w:sz w:val="24"/>
          <w:szCs w:val="24"/>
        </w:rPr>
        <w:t>10 μl</w:t>
      </w:r>
      <w:r>
        <w:rPr>
          <w:sz w:val="24"/>
          <w:szCs w:val="24"/>
        </w:rPr>
        <w:t>注入液相色谱仪，双酚</w:t>
      </w:r>
      <w:r>
        <w:rPr>
          <w:sz w:val="24"/>
          <w:szCs w:val="24"/>
        </w:rPr>
        <w:t>A</w:t>
      </w:r>
      <w:r>
        <w:rPr>
          <w:sz w:val="24"/>
          <w:szCs w:val="24"/>
        </w:rPr>
        <w:t>与相邻色谱峰的分离度应符合要求。</w:t>
      </w:r>
    </w:p>
    <w:p w:rsidR="0008603F" w:rsidRDefault="004C673F">
      <w:pPr>
        <w:widowControl/>
        <w:kinsoku w:val="0"/>
        <w:autoSpaceDE w:val="0"/>
        <w:autoSpaceDN w:val="0"/>
        <w:adjustRightInd w:val="0"/>
        <w:snapToGrid w:val="0"/>
        <w:spacing w:line="360" w:lineRule="auto"/>
        <w:ind w:firstLineChars="200" w:firstLine="482"/>
        <w:jc w:val="left"/>
        <w:textAlignment w:val="baseline"/>
        <w:rPr>
          <w:color w:val="000000" w:themeColor="text1"/>
          <w:sz w:val="24"/>
          <w:szCs w:val="24"/>
        </w:rPr>
      </w:pPr>
      <w:r>
        <w:rPr>
          <w:b/>
          <w:bCs/>
          <w:snapToGrid w:val="0"/>
          <w:color w:val="000000"/>
          <w:kern w:val="0"/>
          <w:sz w:val="24"/>
          <w:szCs w:val="24"/>
        </w:rPr>
        <w:t>标准曲线的制备</w:t>
      </w:r>
      <w:r>
        <w:rPr>
          <w:b/>
          <w:bCs/>
          <w:snapToGrid w:val="0"/>
          <w:color w:val="000000"/>
          <w:kern w:val="0"/>
          <w:sz w:val="24"/>
          <w:szCs w:val="24"/>
        </w:rPr>
        <w:t xml:space="preserve">  </w:t>
      </w:r>
      <w:r>
        <w:rPr>
          <w:bCs/>
          <w:snapToGrid w:val="0"/>
          <w:color w:val="000000"/>
          <w:kern w:val="0"/>
          <w:sz w:val="24"/>
          <w:szCs w:val="24"/>
        </w:rPr>
        <w:t>精密称取双酚</w:t>
      </w:r>
      <w:r>
        <w:rPr>
          <w:bCs/>
          <w:snapToGrid w:val="0"/>
          <w:color w:val="000000"/>
          <w:kern w:val="0"/>
          <w:sz w:val="24"/>
          <w:szCs w:val="24"/>
        </w:rPr>
        <w:t>A</w:t>
      </w:r>
      <w:r>
        <w:rPr>
          <w:bCs/>
          <w:snapToGrid w:val="0"/>
          <w:color w:val="000000"/>
          <w:kern w:val="0"/>
          <w:sz w:val="24"/>
          <w:szCs w:val="24"/>
        </w:rPr>
        <w:t>对照品适量，用甲醇稀释</w:t>
      </w:r>
      <w:r>
        <w:rPr>
          <w:color w:val="000000" w:themeColor="text1"/>
          <w:sz w:val="24"/>
          <w:szCs w:val="24"/>
        </w:rPr>
        <w:t>制成每</w:t>
      </w:r>
      <w:r>
        <w:rPr>
          <w:color w:val="000000" w:themeColor="text1"/>
          <w:sz w:val="24"/>
          <w:szCs w:val="24"/>
        </w:rPr>
        <w:t>1 ml</w:t>
      </w:r>
      <w:r>
        <w:rPr>
          <w:color w:val="000000" w:themeColor="text1"/>
          <w:sz w:val="24"/>
          <w:szCs w:val="24"/>
        </w:rPr>
        <w:t>含</w:t>
      </w:r>
      <w:r>
        <w:rPr>
          <w:color w:val="000000" w:themeColor="text1"/>
          <w:sz w:val="24"/>
          <w:szCs w:val="24"/>
        </w:rPr>
        <w:t>1mg</w:t>
      </w:r>
      <w:r>
        <w:rPr>
          <w:color w:val="000000" w:themeColor="text1"/>
          <w:sz w:val="24"/>
          <w:szCs w:val="24"/>
        </w:rPr>
        <w:t>双酚</w:t>
      </w:r>
      <w:r>
        <w:rPr>
          <w:color w:val="000000" w:themeColor="text1"/>
          <w:sz w:val="24"/>
          <w:szCs w:val="24"/>
        </w:rPr>
        <w:t>A</w:t>
      </w:r>
      <w:r>
        <w:rPr>
          <w:color w:val="000000" w:themeColor="text1"/>
          <w:sz w:val="24"/>
          <w:szCs w:val="24"/>
        </w:rPr>
        <w:t>的溶液，即得双酚</w:t>
      </w:r>
      <w:r>
        <w:rPr>
          <w:color w:val="000000" w:themeColor="text1"/>
          <w:sz w:val="24"/>
          <w:szCs w:val="24"/>
        </w:rPr>
        <w:t>A</w:t>
      </w:r>
      <w:r>
        <w:rPr>
          <w:color w:val="000000" w:themeColor="text1"/>
          <w:sz w:val="24"/>
          <w:szCs w:val="24"/>
        </w:rPr>
        <w:t>标准贮备液（</w:t>
      </w:r>
      <w:r>
        <w:rPr>
          <w:color w:val="000000" w:themeColor="text1"/>
          <w:sz w:val="24"/>
          <w:szCs w:val="24"/>
        </w:rPr>
        <w:t>0~5℃</w:t>
      </w:r>
      <w:r>
        <w:rPr>
          <w:color w:val="000000" w:themeColor="text1"/>
          <w:sz w:val="24"/>
          <w:szCs w:val="24"/>
        </w:rPr>
        <w:t>贮存）。精密量取双酚</w:t>
      </w:r>
      <w:r>
        <w:rPr>
          <w:color w:val="000000" w:themeColor="text1"/>
          <w:sz w:val="24"/>
          <w:szCs w:val="24"/>
        </w:rPr>
        <w:t>A</w:t>
      </w:r>
      <w:r>
        <w:rPr>
          <w:color w:val="000000" w:themeColor="text1"/>
          <w:sz w:val="24"/>
          <w:szCs w:val="24"/>
        </w:rPr>
        <w:t>标准贮备液适量，</w:t>
      </w:r>
      <w:r>
        <w:rPr>
          <w:snapToGrid w:val="0"/>
          <w:color w:val="000000"/>
          <w:kern w:val="0"/>
          <w:sz w:val="24"/>
          <w:szCs w:val="24"/>
        </w:rPr>
        <w:t>用</w:t>
      </w:r>
      <w:r>
        <w:rPr>
          <w:snapToGrid w:val="0"/>
          <w:color w:val="000000"/>
          <w:kern w:val="0"/>
          <w:sz w:val="24"/>
          <w:szCs w:val="24"/>
        </w:rPr>
        <w:t>50%</w:t>
      </w:r>
      <w:r>
        <w:rPr>
          <w:snapToGrid w:val="0"/>
          <w:color w:val="000000"/>
          <w:kern w:val="0"/>
          <w:sz w:val="24"/>
          <w:szCs w:val="24"/>
        </w:rPr>
        <w:t>乙醇定量稀释制成每</w:t>
      </w:r>
      <w:r>
        <w:rPr>
          <w:snapToGrid w:val="0"/>
          <w:color w:val="000000"/>
          <w:kern w:val="0"/>
          <w:sz w:val="24"/>
          <w:szCs w:val="24"/>
        </w:rPr>
        <w:t>1mL</w:t>
      </w:r>
      <w:r>
        <w:rPr>
          <w:snapToGrid w:val="0"/>
          <w:color w:val="000000"/>
          <w:kern w:val="0"/>
          <w:sz w:val="24"/>
          <w:szCs w:val="24"/>
        </w:rPr>
        <w:t>中分别约含</w:t>
      </w:r>
      <w:r>
        <w:rPr>
          <w:snapToGrid w:val="0"/>
          <w:color w:val="000000"/>
          <w:kern w:val="0"/>
          <w:sz w:val="24"/>
          <w:szCs w:val="24"/>
        </w:rPr>
        <w:t>0.2</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0.5</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8.0</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1.0</w:t>
      </w:r>
      <w:r>
        <w:rPr>
          <w:sz w:val="24"/>
          <w:szCs w:val="24"/>
        </w:rPr>
        <w:t>µ</w:t>
      </w:r>
      <w:r>
        <w:rPr>
          <w:snapToGrid w:val="0"/>
          <w:color w:val="000000"/>
          <w:kern w:val="0"/>
          <w:sz w:val="24"/>
          <w:szCs w:val="24"/>
        </w:rPr>
        <w:t>g</w:t>
      </w:r>
      <w:r>
        <w:rPr>
          <w:snapToGrid w:val="0"/>
          <w:color w:val="000000"/>
          <w:kern w:val="0"/>
          <w:sz w:val="24"/>
          <w:szCs w:val="24"/>
        </w:rPr>
        <w:t>和</w:t>
      </w:r>
      <w:r>
        <w:rPr>
          <w:snapToGrid w:val="0"/>
          <w:color w:val="000000"/>
          <w:kern w:val="0"/>
          <w:sz w:val="24"/>
          <w:szCs w:val="24"/>
        </w:rPr>
        <w:t>2.0</w:t>
      </w:r>
      <w:r>
        <w:rPr>
          <w:sz w:val="24"/>
          <w:szCs w:val="24"/>
        </w:rPr>
        <w:t>µ</w:t>
      </w:r>
      <w:r>
        <w:rPr>
          <w:snapToGrid w:val="0"/>
          <w:color w:val="000000"/>
          <w:kern w:val="0"/>
          <w:sz w:val="24"/>
          <w:szCs w:val="24"/>
        </w:rPr>
        <w:t>g</w:t>
      </w:r>
      <w:r>
        <w:rPr>
          <w:snapToGrid w:val="0"/>
          <w:color w:val="000000"/>
          <w:kern w:val="0"/>
          <w:sz w:val="24"/>
          <w:szCs w:val="24"/>
        </w:rPr>
        <w:t>的溶液，作为对照品溶液。</w:t>
      </w:r>
      <w:r>
        <w:rPr>
          <w:sz w:val="24"/>
          <w:szCs w:val="24"/>
        </w:rPr>
        <w:t>精密量取上述对照品溶液各</w:t>
      </w:r>
      <w:r>
        <w:rPr>
          <w:sz w:val="24"/>
          <w:szCs w:val="24"/>
        </w:rPr>
        <w:t>10 µl</w:t>
      </w:r>
      <w:r>
        <w:rPr>
          <w:sz w:val="24"/>
          <w:szCs w:val="24"/>
        </w:rPr>
        <w:t>，分别注入液相色谱仪，测定峰面积，以峰面积为纵坐标，浓度为横坐标，绘制标准曲线。</w:t>
      </w:r>
    </w:p>
    <w:p w:rsidR="0008603F" w:rsidRDefault="004C673F">
      <w:pPr>
        <w:spacing w:line="360" w:lineRule="auto"/>
        <w:ind w:firstLineChars="200" w:firstLine="482"/>
        <w:rPr>
          <w:sz w:val="24"/>
          <w:szCs w:val="24"/>
        </w:rPr>
      </w:pPr>
      <w:r>
        <w:rPr>
          <w:b/>
          <w:bCs/>
          <w:color w:val="000000" w:themeColor="text1"/>
          <w:sz w:val="24"/>
          <w:szCs w:val="24"/>
        </w:rPr>
        <w:t>测定法</w:t>
      </w:r>
      <w:r>
        <w:rPr>
          <w:b/>
          <w:bCs/>
          <w:color w:val="000000" w:themeColor="text1"/>
          <w:sz w:val="24"/>
          <w:szCs w:val="24"/>
        </w:rPr>
        <w:t xml:space="preserve"> </w:t>
      </w:r>
      <w:r>
        <w:rPr>
          <w:sz w:val="24"/>
        </w:rPr>
        <w:t>精</w:t>
      </w:r>
      <w:r>
        <w:rPr>
          <w:sz w:val="24"/>
          <w:szCs w:val="24"/>
        </w:rPr>
        <w:t>密量取空白溶液和供试品溶液各</w:t>
      </w:r>
      <w:r>
        <w:rPr>
          <w:sz w:val="24"/>
          <w:szCs w:val="24"/>
        </w:rPr>
        <w:t xml:space="preserve">10 </w:t>
      </w:r>
      <w:r>
        <w:rPr>
          <w:sz w:val="24"/>
          <w:szCs w:val="24"/>
        </w:rPr>
        <w:t>µl</w:t>
      </w:r>
      <w:r>
        <w:rPr>
          <w:sz w:val="24"/>
          <w:szCs w:val="24"/>
        </w:rPr>
        <w:t>，分别注入液相色谱仪，记录色谱图，测定峰面积，从标准曲线上确定供试品溶液中双酚</w:t>
      </w:r>
      <w:r>
        <w:rPr>
          <w:sz w:val="24"/>
          <w:szCs w:val="24"/>
        </w:rPr>
        <w:t>A</w:t>
      </w:r>
      <w:r>
        <w:rPr>
          <w:sz w:val="24"/>
          <w:szCs w:val="24"/>
        </w:rPr>
        <w:t>的量，计算，即得。</w:t>
      </w:r>
    </w:p>
    <w:p w:rsidR="0008603F" w:rsidRDefault="004C673F">
      <w:pPr>
        <w:autoSpaceDE w:val="0"/>
        <w:autoSpaceDN w:val="0"/>
        <w:adjustRightInd w:val="0"/>
        <w:spacing w:line="360" w:lineRule="auto"/>
        <w:ind w:firstLine="482"/>
        <w:rPr>
          <w:b/>
          <w:bCs/>
          <w:sz w:val="24"/>
          <w:szCs w:val="24"/>
        </w:rPr>
      </w:pPr>
      <w:r>
        <w:rPr>
          <w:b/>
          <w:bCs/>
          <w:sz w:val="24"/>
          <w:szCs w:val="24"/>
        </w:rPr>
        <w:t>第二法</w:t>
      </w:r>
      <w:r>
        <w:rPr>
          <w:b/>
          <w:bCs/>
          <w:sz w:val="24"/>
          <w:szCs w:val="24"/>
        </w:rPr>
        <w:t xml:space="preserve"> </w:t>
      </w:r>
      <w:r>
        <w:rPr>
          <w:b/>
          <w:bCs/>
          <w:sz w:val="24"/>
          <w:szCs w:val="24"/>
        </w:rPr>
        <w:t>液相色谱</w:t>
      </w:r>
      <w:r>
        <w:rPr>
          <w:b/>
          <w:bCs/>
          <w:sz w:val="24"/>
          <w:szCs w:val="24"/>
        </w:rPr>
        <w:t>-</w:t>
      </w:r>
      <w:r>
        <w:rPr>
          <w:b/>
          <w:bCs/>
          <w:sz w:val="24"/>
          <w:szCs w:val="24"/>
        </w:rPr>
        <w:t>质谱法</w:t>
      </w:r>
    </w:p>
    <w:p w:rsidR="0008603F" w:rsidRDefault="004C673F">
      <w:pPr>
        <w:widowControl/>
        <w:kinsoku w:val="0"/>
        <w:autoSpaceDE w:val="0"/>
        <w:autoSpaceDN w:val="0"/>
        <w:adjustRightInd w:val="0"/>
        <w:snapToGrid w:val="0"/>
        <w:spacing w:line="360" w:lineRule="auto"/>
        <w:ind w:firstLineChars="200" w:firstLine="480"/>
        <w:jc w:val="left"/>
        <w:textAlignment w:val="baseline"/>
        <w:rPr>
          <w:b/>
          <w:bCs/>
          <w:snapToGrid w:val="0"/>
          <w:color w:val="000000"/>
          <w:kern w:val="0"/>
          <w:sz w:val="24"/>
          <w:szCs w:val="24"/>
        </w:rPr>
      </w:pPr>
      <w:r>
        <w:rPr>
          <w:snapToGrid w:val="0"/>
          <w:color w:val="000000"/>
          <w:kern w:val="0"/>
          <w:sz w:val="24"/>
          <w:szCs w:val="24"/>
        </w:rPr>
        <w:t>本方法采用液相色谱</w:t>
      </w:r>
      <w:r>
        <w:rPr>
          <w:snapToGrid w:val="0"/>
          <w:color w:val="000000"/>
          <w:kern w:val="0"/>
          <w:sz w:val="24"/>
          <w:szCs w:val="24"/>
        </w:rPr>
        <w:t>-</w:t>
      </w:r>
      <w:r>
        <w:rPr>
          <w:snapToGrid w:val="0"/>
          <w:color w:val="000000"/>
          <w:kern w:val="0"/>
          <w:sz w:val="24"/>
          <w:szCs w:val="24"/>
        </w:rPr>
        <w:t>质谱仪进行测定。采用选择多反应监测</w:t>
      </w:r>
      <w:r>
        <w:rPr>
          <w:snapToGrid w:val="0"/>
          <w:color w:val="000000"/>
          <w:kern w:val="0"/>
          <w:sz w:val="24"/>
          <w:szCs w:val="24"/>
        </w:rPr>
        <w:t>(MRM)</w:t>
      </w:r>
      <w:r>
        <w:rPr>
          <w:snapToGrid w:val="0"/>
          <w:color w:val="000000"/>
          <w:kern w:val="0"/>
          <w:sz w:val="24"/>
          <w:szCs w:val="24"/>
        </w:rPr>
        <w:t>，以保留时间和碎片的丰度比定性，标准曲线法定量。</w:t>
      </w:r>
    </w:p>
    <w:p w:rsidR="0008603F" w:rsidRDefault="004C673F">
      <w:pPr>
        <w:spacing w:line="360" w:lineRule="auto"/>
        <w:ind w:firstLineChars="200" w:firstLine="482"/>
        <w:rPr>
          <w:sz w:val="24"/>
        </w:rPr>
      </w:pPr>
      <w:r>
        <w:rPr>
          <w:b/>
          <w:bCs/>
          <w:snapToGrid w:val="0"/>
          <w:color w:val="000000"/>
          <w:kern w:val="0"/>
          <w:sz w:val="24"/>
          <w:szCs w:val="24"/>
        </w:rPr>
        <w:t>色谱</w:t>
      </w:r>
      <w:r>
        <w:rPr>
          <w:rFonts w:hint="eastAsia"/>
          <w:b/>
          <w:bCs/>
          <w:snapToGrid w:val="0"/>
          <w:color w:val="000000"/>
          <w:kern w:val="0"/>
          <w:sz w:val="24"/>
          <w:szCs w:val="24"/>
        </w:rPr>
        <w:t>、质谱</w:t>
      </w:r>
      <w:r>
        <w:rPr>
          <w:b/>
          <w:bCs/>
          <w:snapToGrid w:val="0"/>
          <w:color w:val="000000"/>
          <w:kern w:val="0"/>
          <w:sz w:val="24"/>
          <w:szCs w:val="24"/>
        </w:rPr>
        <w:t>条件与系统适用性</w:t>
      </w:r>
      <w:r>
        <w:rPr>
          <w:rFonts w:hint="eastAsia"/>
          <w:b/>
          <w:bCs/>
          <w:snapToGrid w:val="0"/>
          <w:color w:val="000000"/>
          <w:kern w:val="0"/>
          <w:sz w:val="24"/>
          <w:szCs w:val="24"/>
        </w:rPr>
        <w:t>试验</w:t>
      </w:r>
      <w:r>
        <w:rPr>
          <w:b/>
          <w:bCs/>
          <w:snapToGrid w:val="0"/>
          <w:color w:val="000000"/>
          <w:kern w:val="0"/>
          <w:sz w:val="24"/>
          <w:szCs w:val="24"/>
        </w:rPr>
        <w:t xml:space="preserve"> </w:t>
      </w:r>
      <w:r>
        <w:rPr>
          <w:rFonts w:hint="eastAsia"/>
          <w:sz w:val="24"/>
        </w:rPr>
        <w:t>以</w:t>
      </w:r>
      <w:r>
        <w:rPr>
          <w:sz w:val="24"/>
        </w:rPr>
        <w:t>十八烷基硅烷键合硅胶为填充剂；</w:t>
      </w:r>
      <w:r>
        <w:rPr>
          <w:sz w:val="24"/>
        </w:rPr>
        <w:lastRenderedPageBreak/>
        <w:t>以甲醇</w:t>
      </w:r>
      <w:r>
        <w:rPr>
          <w:rFonts w:hint="eastAsia"/>
          <w:sz w:val="24"/>
        </w:rPr>
        <w:t>-</w:t>
      </w:r>
      <w:r>
        <w:rPr>
          <w:sz w:val="24"/>
        </w:rPr>
        <w:t>水</w:t>
      </w:r>
      <w:r>
        <w:rPr>
          <w:rFonts w:hint="eastAsia"/>
          <w:sz w:val="24"/>
        </w:rPr>
        <w:t>-</w:t>
      </w:r>
      <w:r>
        <w:rPr>
          <w:sz w:val="24"/>
        </w:rPr>
        <w:t>氨水（</w:t>
      </w:r>
      <w:r>
        <w:rPr>
          <w:sz w:val="24"/>
        </w:rPr>
        <w:t>70:30:0.1</w:t>
      </w:r>
      <w:r>
        <w:rPr>
          <w:sz w:val="24"/>
        </w:rPr>
        <w:t>）为流动相；</w:t>
      </w:r>
      <w:r>
        <w:rPr>
          <w:rFonts w:hint="eastAsia"/>
          <w:sz w:val="24"/>
        </w:rPr>
        <w:t>柱温</w:t>
      </w:r>
      <w:r>
        <w:rPr>
          <w:rFonts w:hint="eastAsia"/>
          <w:sz w:val="24"/>
        </w:rPr>
        <w:t>30</w:t>
      </w:r>
      <w:r>
        <w:rPr>
          <w:rFonts w:ascii="宋体" w:hAnsi="宋体" w:hint="eastAsia"/>
          <w:sz w:val="24"/>
        </w:rPr>
        <w:t>℃</w:t>
      </w:r>
      <w:r>
        <w:rPr>
          <w:rFonts w:hint="eastAsia"/>
          <w:sz w:val="24"/>
        </w:rPr>
        <w:t>；流速每分钟</w:t>
      </w:r>
      <w:r>
        <w:rPr>
          <w:rFonts w:hint="eastAsia"/>
          <w:sz w:val="24"/>
        </w:rPr>
        <w:t>0.3ml</w:t>
      </w:r>
      <w:r>
        <w:rPr>
          <w:rFonts w:hint="eastAsia"/>
          <w:sz w:val="24"/>
        </w:rPr>
        <w:t>。</w:t>
      </w:r>
    </w:p>
    <w:p w:rsidR="0008603F" w:rsidRDefault="004C673F">
      <w:pPr>
        <w:spacing w:line="360" w:lineRule="auto"/>
        <w:ind w:firstLineChars="200" w:firstLine="480"/>
        <w:rPr>
          <w:sz w:val="24"/>
        </w:rPr>
      </w:pPr>
      <w:r>
        <w:rPr>
          <w:rFonts w:hint="eastAsia"/>
          <w:sz w:val="24"/>
        </w:rPr>
        <w:t>以三重四级杆串联质谱仪检测；电喷雾离子源（</w:t>
      </w:r>
      <w:r>
        <w:rPr>
          <w:rFonts w:hint="eastAsia"/>
          <w:sz w:val="24"/>
        </w:rPr>
        <w:t>ESI</w:t>
      </w:r>
      <w:r>
        <w:rPr>
          <w:rFonts w:hint="eastAsia"/>
          <w:sz w:val="24"/>
        </w:rPr>
        <w:t>），采集模式为负离子模式，化合物监测粒子对和碰撞电压（</w:t>
      </w:r>
      <w:r>
        <w:rPr>
          <w:rFonts w:hint="eastAsia"/>
          <w:sz w:val="24"/>
        </w:rPr>
        <w:t>CE</w:t>
      </w:r>
      <w:r>
        <w:rPr>
          <w:rFonts w:hint="eastAsia"/>
          <w:sz w:val="24"/>
        </w:rPr>
        <w:t>）见下表。</w:t>
      </w:r>
    </w:p>
    <w:p w:rsidR="0008603F" w:rsidRDefault="004C673F">
      <w:pPr>
        <w:spacing w:line="360" w:lineRule="auto"/>
        <w:ind w:firstLineChars="200" w:firstLine="480"/>
        <w:jc w:val="center"/>
        <w:rPr>
          <w:sz w:val="24"/>
          <w:szCs w:val="24"/>
        </w:rPr>
      </w:pPr>
      <w:r>
        <w:rPr>
          <w:rFonts w:hint="eastAsia"/>
          <w:sz w:val="24"/>
          <w:szCs w:val="24"/>
        </w:rPr>
        <w:t>表</w:t>
      </w:r>
      <w:r>
        <w:rPr>
          <w:rFonts w:hint="eastAsia"/>
          <w:sz w:val="24"/>
          <w:szCs w:val="24"/>
        </w:rPr>
        <w:t xml:space="preserve">1 </w:t>
      </w:r>
      <w:r>
        <w:rPr>
          <w:rFonts w:hint="eastAsia"/>
          <w:sz w:val="24"/>
          <w:szCs w:val="24"/>
        </w:rPr>
        <w:t>双酚</w:t>
      </w:r>
      <w:r>
        <w:rPr>
          <w:rFonts w:hint="eastAsia"/>
          <w:sz w:val="24"/>
          <w:szCs w:val="24"/>
        </w:rPr>
        <w:t xml:space="preserve"> A </w:t>
      </w:r>
      <w:r>
        <w:rPr>
          <w:rFonts w:hint="eastAsia"/>
          <w:sz w:val="24"/>
          <w:szCs w:val="24"/>
        </w:rPr>
        <w:t>对照品的监测离子对、碰撞电压（</w:t>
      </w:r>
      <w:r>
        <w:rPr>
          <w:rFonts w:hint="eastAsia"/>
          <w:sz w:val="24"/>
          <w:szCs w:val="24"/>
        </w:rPr>
        <w:t>CE</w:t>
      </w:r>
      <w:r>
        <w:rPr>
          <w:rFonts w:hint="eastAsia"/>
          <w:sz w:val="24"/>
          <w:szCs w:val="24"/>
        </w:rPr>
        <w:t>）参考值</w:t>
      </w:r>
    </w:p>
    <w:tbl>
      <w:tblPr>
        <w:tblStyle w:val="TableNormal"/>
        <w:tblW w:w="5000" w:type="pct"/>
        <w:jc w:val="center"/>
        <w:tblInd w:w="0" w:type="dxa"/>
        <w:tblBorders>
          <w:top w:val="single" w:sz="4" w:space="0" w:color="auto"/>
          <w:bottom w:val="single" w:sz="4" w:space="0" w:color="auto"/>
        </w:tblBorders>
        <w:tblLook w:val="04A0" w:firstRow="1" w:lastRow="0" w:firstColumn="1" w:lastColumn="0" w:noHBand="0" w:noVBand="1"/>
      </w:tblPr>
      <w:tblGrid>
        <w:gridCol w:w="2000"/>
        <w:gridCol w:w="1794"/>
        <w:gridCol w:w="1776"/>
        <w:gridCol w:w="2417"/>
      </w:tblGrid>
      <w:tr w:rsidR="0008603F">
        <w:trPr>
          <w:trHeight w:val="723"/>
          <w:jc w:val="center"/>
        </w:trPr>
        <w:tc>
          <w:tcPr>
            <w:tcW w:w="1252" w:type="pct"/>
            <w:tcBorders>
              <w:top w:val="single" w:sz="4" w:space="0" w:color="auto"/>
              <w:bottom w:val="single" w:sz="4" w:space="0" w:color="auto"/>
            </w:tcBorders>
            <w:vAlign w:val="center"/>
          </w:tcPr>
          <w:p w:rsidR="0008603F" w:rsidRDefault="004C673F">
            <w:pPr>
              <w:spacing w:line="360" w:lineRule="auto"/>
              <w:jc w:val="center"/>
              <w:rPr>
                <w:sz w:val="24"/>
                <w:szCs w:val="24"/>
              </w:rPr>
            </w:pPr>
            <w:r>
              <w:rPr>
                <w:spacing w:val="14"/>
                <w:sz w:val="24"/>
                <w:szCs w:val="24"/>
              </w:rPr>
              <w:t>化合物</w:t>
            </w:r>
          </w:p>
        </w:tc>
        <w:tc>
          <w:tcPr>
            <w:tcW w:w="1123" w:type="pct"/>
            <w:tcBorders>
              <w:top w:val="single" w:sz="4" w:space="0" w:color="auto"/>
              <w:bottom w:val="single" w:sz="4" w:space="0" w:color="auto"/>
            </w:tcBorders>
            <w:vAlign w:val="center"/>
          </w:tcPr>
          <w:p w:rsidR="0008603F" w:rsidRDefault="004C673F">
            <w:pPr>
              <w:spacing w:line="360" w:lineRule="auto"/>
              <w:jc w:val="center"/>
              <w:rPr>
                <w:sz w:val="24"/>
                <w:szCs w:val="24"/>
              </w:rPr>
            </w:pPr>
            <w:r>
              <w:rPr>
                <w:spacing w:val="15"/>
                <w:position w:val="10"/>
                <w:sz w:val="24"/>
                <w:szCs w:val="24"/>
              </w:rPr>
              <w:t>母离子</w:t>
            </w:r>
          </w:p>
        </w:tc>
        <w:tc>
          <w:tcPr>
            <w:tcW w:w="1112" w:type="pct"/>
            <w:tcBorders>
              <w:top w:val="single" w:sz="4" w:space="0" w:color="auto"/>
              <w:bottom w:val="single" w:sz="4" w:space="0" w:color="auto"/>
            </w:tcBorders>
            <w:vAlign w:val="center"/>
          </w:tcPr>
          <w:p w:rsidR="0008603F" w:rsidRDefault="004C673F">
            <w:pPr>
              <w:spacing w:line="360" w:lineRule="auto"/>
              <w:jc w:val="center"/>
              <w:rPr>
                <w:sz w:val="24"/>
                <w:szCs w:val="24"/>
              </w:rPr>
            </w:pPr>
            <w:r>
              <w:rPr>
                <w:spacing w:val="14"/>
                <w:position w:val="10"/>
                <w:sz w:val="24"/>
                <w:szCs w:val="24"/>
              </w:rPr>
              <w:t>子离</w:t>
            </w:r>
            <w:r>
              <w:rPr>
                <w:spacing w:val="13"/>
                <w:position w:val="10"/>
                <w:sz w:val="24"/>
                <w:szCs w:val="24"/>
              </w:rPr>
              <w:t>子</w:t>
            </w:r>
          </w:p>
        </w:tc>
        <w:tc>
          <w:tcPr>
            <w:tcW w:w="1513" w:type="pct"/>
            <w:tcBorders>
              <w:top w:val="single" w:sz="4" w:space="0" w:color="auto"/>
              <w:bottom w:val="single" w:sz="4" w:space="0" w:color="auto"/>
            </w:tcBorders>
            <w:vAlign w:val="center"/>
          </w:tcPr>
          <w:p w:rsidR="0008603F" w:rsidRDefault="004C673F">
            <w:pPr>
              <w:spacing w:line="360" w:lineRule="auto"/>
              <w:jc w:val="center"/>
              <w:rPr>
                <w:sz w:val="24"/>
                <w:szCs w:val="24"/>
              </w:rPr>
            </w:pPr>
            <w:r>
              <w:rPr>
                <w:spacing w:val="17"/>
                <w:position w:val="11"/>
                <w:sz w:val="24"/>
                <w:szCs w:val="24"/>
              </w:rPr>
              <w:t>CE</w:t>
            </w:r>
            <w:r>
              <w:rPr>
                <w:spacing w:val="17"/>
                <w:position w:val="11"/>
                <w:sz w:val="24"/>
                <w:szCs w:val="24"/>
              </w:rPr>
              <w:t>（</w:t>
            </w:r>
            <w:r>
              <w:rPr>
                <w:spacing w:val="17"/>
                <w:position w:val="11"/>
                <w:sz w:val="24"/>
                <w:szCs w:val="24"/>
              </w:rPr>
              <w:t>V</w:t>
            </w:r>
            <w:r>
              <w:rPr>
                <w:spacing w:val="17"/>
                <w:position w:val="11"/>
                <w:sz w:val="24"/>
                <w:szCs w:val="24"/>
              </w:rPr>
              <w:t>）</w:t>
            </w:r>
          </w:p>
        </w:tc>
      </w:tr>
      <w:tr w:rsidR="0008603F">
        <w:trPr>
          <w:trHeight w:val="358"/>
          <w:jc w:val="center"/>
        </w:trPr>
        <w:tc>
          <w:tcPr>
            <w:tcW w:w="1252" w:type="pct"/>
            <w:vMerge w:val="restart"/>
            <w:tcBorders>
              <w:top w:val="single" w:sz="4" w:space="0" w:color="auto"/>
            </w:tcBorders>
            <w:vAlign w:val="center"/>
          </w:tcPr>
          <w:p w:rsidR="0008603F" w:rsidRDefault="004C673F">
            <w:pPr>
              <w:spacing w:line="360" w:lineRule="auto"/>
              <w:jc w:val="center"/>
              <w:rPr>
                <w:sz w:val="24"/>
                <w:szCs w:val="24"/>
              </w:rPr>
            </w:pPr>
            <w:r>
              <w:rPr>
                <w:spacing w:val="23"/>
                <w:sz w:val="24"/>
                <w:szCs w:val="24"/>
              </w:rPr>
              <w:t>双酚</w:t>
            </w:r>
            <w:r>
              <w:rPr>
                <w:spacing w:val="23"/>
                <w:sz w:val="24"/>
                <w:szCs w:val="24"/>
              </w:rPr>
              <w:t xml:space="preserve"> </w:t>
            </w:r>
            <w:r>
              <w:rPr>
                <w:position w:val="-1"/>
                <w:sz w:val="24"/>
                <w:szCs w:val="24"/>
              </w:rPr>
              <w:t>A</w:t>
            </w:r>
          </w:p>
        </w:tc>
        <w:tc>
          <w:tcPr>
            <w:tcW w:w="1123" w:type="pct"/>
            <w:tcBorders>
              <w:top w:val="single" w:sz="4" w:space="0" w:color="auto"/>
            </w:tcBorders>
            <w:vAlign w:val="center"/>
          </w:tcPr>
          <w:p w:rsidR="0008603F" w:rsidRDefault="004C673F">
            <w:pPr>
              <w:spacing w:line="360" w:lineRule="auto"/>
              <w:jc w:val="center"/>
              <w:rPr>
                <w:sz w:val="24"/>
                <w:szCs w:val="24"/>
              </w:rPr>
            </w:pPr>
            <w:r>
              <w:rPr>
                <w:spacing w:val="5"/>
                <w:sz w:val="24"/>
                <w:szCs w:val="24"/>
              </w:rPr>
              <w:t>22</w:t>
            </w:r>
            <w:r>
              <w:rPr>
                <w:spacing w:val="4"/>
                <w:sz w:val="24"/>
                <w:szCs w:val="24"/>
              </w:rPr>
              <w:t>7</w:t>
            </w:r>
          </w:p>
        </w:tc>
        <w:tc>
          <w:tcPr>
            <w:tcW w:w="1112" w:type="pct"/>
            <w:tcBorders>
              <w:top w:val="single" w:sz="4" w:space="0" w:color="auto"/>
            </w:tcBorders>
            <w:vAlign w:val="center"/>
          </w:tcPr>
          <w:p w:rsidR="0008603F" w:rsidRDefault="004C673F">
            <w:pPr>
              <w:spacing w:line="360" w:lineRule="auto"/>
              <w:jc w:val="center"/>
              <w:rPr>
                <w:sz w:val="24"/>
                <w:szCs w:val="24"/>
              </w:rPr>
            </w:pPr>
            <w:r>
              <w:rPr>
                <w:spacing w:val="-6"/>
                <w:sz w:val="24"/>
                <w:szCs w:val="24"/>
              </w:rPr>
              <w:t>2</w:t>
            </w:r>
            <w:r>
              <w:rPr>
                <w:spacing w:val="-4"/>
                <w:sz w:val="24"/>
                <w:szCs w:val="24"/>
              </w:rPr>
              <w:t>1</w:t>
            </w:r>
            <w:r>
              <w:rPr>
                <w:spacing w:val="-3"/>
                <w:sz w:val="24"/>
                <w:szCs w:val="24"/>
              </w:rPr>
              <w:t>1. 9</w:t>
            </w:r>
          </w:p>
        </w:tc>
        <w:tc>
          <w:tcPr>
            <w:tcW w:w="1513" w:type="pct"/>
            <w:tcBorders>
              <w:top w:val="single" w:sz="4" w:space="0" w:color="auto"/>
            </w:tcBorders>
            <w:vAlign w:val="center"/>
          </w:tcPr>
          <w:p w:rsidR="0008603F" w:rsidRDefault="004C673F">
            <w:pPr>
              <w:spacing w:line="360" w:lineRule="auto"/>
              <w:jc w:val="center"/>
              <w:rPr>
                <w:sz w:val="24"/>
                <w:szCs w:val="24"/>
              </w:rPr>
            </w:pPr>
            <w:r>
              <w:rPr>
                <w:spacing w:val="4"/>
                <w:sz w:val="24"/>
                <w:szCs w:val="24"/>
              </w:rPr>
              <w:t>12</w:t>
            </w:r>
            <w:r>
              <w:rPr>
                <w:spacing w:val="3"/>
                <w:sz w:val="24"/>
                <w:szCs w:val="24"/>
              </w:rPr>
              <w:t>5</w:t>
            </w:r>
          </w:p>
        </w:tc>
      </w:tr>
      <w:tr w:rsidR="0008603F">
        <w:trPr>
          <w:trHeight w:val="358"/>
          <w:jc w:val="center"/>
        </w:trPr>
        <w:tc>
          <w:tcPr>
            <w:tcW w:w="1252" w:type="pct"/>
            <w:vMerge/>
            <w:vAlign w:val="center"/>
          </w:tcPr>
          <w:p w:rsidR="0008603F" w:rsidRDefault="0008603F">
            <w:pPr>
              <w:spacing w:line="360" w:lineRule="auto"/>
              <w:jc w:val="center"/>
              <w:rPr>
                <w:sz w:val="24"/>
                <w:szCs w:val="24"/>
              </w:rPr>
            </w:pPr>
          </w:p>
        </w:tc>
        <w:tc>
          <w:tcPr>
            <w:tcW w:w="1123" w:type="pct"/>
            <w:vAlign w:val="center"/>
          </w:tcPr>
          <w:p w:rsidR="0008603F" w:rsidRDefault="004C673F">
            <w:pPr>
              <w:spacing w:line="360" w:lineRule="auto"/>
              <w:jc w:val="center"/>
              <w:rPr>
                <w:sz w:val="24"/>
                <w:szCs w:val="24"/>
              </w:rPr>
            </w:pPr>
            <w:r>
              <w:rPr>
                <w:spacing w:val="5"/>
                <w:sz w:val="24"/>
                <w:szCs w:val="24"/>
              </w:rPr>
              <w:t>22</w:t>
            </w:r>
            <w:r>
              <w:rPr>
                <w:spacing w:val="4"/>
                <w:sz w:val="24"/>
                <w:szCs w:val="24"/>
              </w:rPr>
              <w:t>7</w:t>
            </w:r>
          </w:p>
        </w:tc>
        <w:tc>
          <w:tcPr>
            <w:tcW w:w="1112" w:type="pct"/>
            <w:vAlign w:val="center"/>
          </w:tcPr>
          <w:p w:rsidR="0008603F" w:rsidRDefault="004C673F">
            <w:pPr>
              <w:spacing w:line="360" w:lineRule="auto"/>
              <w:jc w:val="center"/>
              <w:rPr>
                <w:sz w:val="24"/>
                <w:szCs w:val="24"/>
              </w:rPr>
            </w:pPr>
            <w:r>
              <w:rPr>
                <w:spacing w:val="-8"/>
                <w:sz w:val="24"/>
                <w:szCs w:val="24"/>
              </w:rPr>
              <w:t>1</w:t>
            </w:r>
            <w:r>
              <w:rPr>
                <w:spacing w:val="-4"/>
                <w:sz w:val="24"/>
                <w:szCs w:val="24"/>
              </w:rPr>
              <w:t>32. 8</w:t>
            </w:r>
          </w:p>
        </w:tc>
        <w:tc>
          <w:tcPr>
            <w:tcW w:w="1513" w:type="pct"/>
            <w:vAlign w:val="center"/>
          </w:tcPr>
          <w:p w:rsidR="0008603F" w:rsidRDefault="004C673F">
            <w:pPr>
              <w:spacing w:line="360" w:lineRule="auto"/>
              <w:jc w:val="center"/>
              <w:rPr>
                <w:sz w:val="24"/>
                <w:szCs w:val="24"/>
              </w:rPr>
            </w:pPr>
            <w:r>
              <w:rPr>
                <w:spacing w:val="4"/>
                <w:sz w:val="24"/>
                <w:szCs w:val="24"/>
              </w:rPr>
              <w:t>12</w:t>
            </w:r>
            <w:r>
              <w:rPr>
                <w:spacing w:val="3"/>
                <w:sz w:val="24"/>
                <w:szCs w:val="24"/>
              </w:rPr>
              <w:t>5</w:t>
            </w:r>
          </w:p>
        </w:tc>
      </w:tr>
    </w:tbl>
    <w:p w:rsidR="0008603F" w:rsidRDefault="0008603F"/>
    <w:p w:rsidR="0008603F" w:rsidRDefault="004C673F">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标准曲线的制备</w:t>
      </w:r>
      <w:r>
        <w:rPr>
          <w:b/>
          <w:bCs/>
          <w:snapToGrid w:val="0"/>
          <w:color w:val="000000"/>
          <w:kern w:val="0"/>
          <w:sz w:val="24"/>
          <w:szCs w:val="24"/>
        </w:rPr>
        <w:t xml:space="preserve">  </w:t>
      </w:r>
      <w:r>
        <w:rPr>
          <w:bCs/>
          <w:snapToGrid w:val="0"/>
          <w:color w:val="000000"/>
          <w:kern w:val="0"/>
          <w:sz w:val="24"/>
          <w:szCs w:val="24"/>
        </w:rPr>
        <w:t>精密称取双酚</w:t>
      </w:r>
      <w:r>
        <w:rPr>
          <w:bCs/>
          <w:snapToGrid w:val="0"/>
          <w:color w:val="000000"/>
          <w:kern w:val="0"/>
          <w:sz w:val="24"/>
          <w:szCs w:val="24"/>
        </w:rPr>
        <w:t>A</w:t>
      </w:r>
      <w:r>
        <w:rPr>
          <w:bCs/>
          <w:snapToGrid w:val="0"/>
          <w:color w:val="000000"/>
          <w:kern w:val="0"/>
          <w:sz w:val="24"/>
          <w:szCs w:val="24"/>
        </w:rPr>
        <w:t>对照品适量，用甲醇稀释</w:t>
      </w:r>
      <w:r>
        <w:rPr>
          <w:color w:val="000000" w:themeColor="text1"/>
          <w:sz w:val="24"/>
          <w:szCs w:val="24"/>
        </w:rPr>
        <w:t>制成每</w:t>
      </w:r>
      <w:r>
        <w:rPr>
          <w:color w:val="000000" w:themeColor="text1"/>
          <w:sz w:val="24"/>
          <w:szCs w:val="24"/>
        </w:rPr>
        <w:t>1 ml</w:t>
      </w:r>
      <w:r>
        <w:rPr>
          <w:color w:val="000000" w:themeColor="text1"/>
          <w:sz w:val="24"/>
          <w:szCs w:val="24"/>
        </w:rPr>
        <w:t>含</w:t>
      </w:r>
      <w:r>
        <w:rPr>
          <w:color w:val="000000" w:themeColor="text1"/>
          <w:sz w:val="24"/>
          <w:szCs w:val="24"/>
        </w:rPr>
        <w:t>0.01mg</w:t>
      </w:r>
      <w:r>
        <w:rPr>
          <w:color w:val="000000" w:themeColor="text1"/>
          <w:sz w:val="24"/>
          <w:szCs w:val="24"/>
        </w:rPr>
        <w:t>双酚</w:t>
      </w:r>
      <w:r>
        <w:rPr>
          <w:color w:val="000000" w:themeColor="text1"/>
          <w:sz w:val="24"/>
          <w:szCs w:val="24"/>
        </w:rPr>
        <w:t>A</w:t>
      </w:r>
      <w:r>
        <w:rPr>
          <w:color w:val="000000" w:themeColor="text1"/>
          <w:sz w:val="24"/>
          <w:szCs w:val="24"/>
        </w:rPr>
        <w:t>的溶液，即得双酚</w:t>
      </w:r>
      <w:r>
        <w:rPr>
          <w:color w:val="000000" w:themeColor="text1"/>
          <w:sz w:val="24"/>
          <w:szCs w:val="24"/>
        </w:rPr>
        <w:t>A</w:t>
      </w:r>
      <w:r>
        <w:rPr>
          <w:color w:val="000000" w:themeColor="text1"/>
          <w:sz w:val="24"/>
          <w:szCs w:val="24"/>
        </w:rPr>
        <w:t>标准贮备液（</w:t>
      </w:r>
      <w:r>
        <w:rPr>
          <w:color w:val="000000" w:themeColor="text1"/>
          <w:sz w:val="24"/>
          <w:szCs w:val="24"/>
        </w:rPr>
        <w:t>0~5℃</w:t>
      </w:r>
      <w:r>
        <w:rPr>
          <w:color w:val="000000" w:themeColor="text1"/>
          <w:sz w:val="24"/>
          <w:szCs w:val="24"/>
        </w:rPr>
        <w:t>贮存）。精密量取双酚</w:t>
      </w:r>
      <w:r>
        <w:rPr>
          <w:color w:val="000000" w:themeColor="text1"/>
          <w:sz w:val="24"/>
          <w:szCs w:val="24"/>
        </w:rPr>
        <w:t>A</w:t>
      </w:r>
      <w:r>
        <w:rPr>
          <w:color w:val="000000" w:themeColor="text1"/>
          <w:sz w:val="24"/>
          <w:szCs w:val="24"/>
        </w:rPr>
        <w:t>标准贮备液适量，</w:t>
      </w:r>
      <w:r>
        <w:rPr>
          <w:snapToGrid w:val="0"/>
          <w:color w:val="000000"/>
          <w:kern w:val="0"/>
          <w:sz w:val="24"/>
          <w:szCs w:val="24"/>
        </w:rPr>
        <w:t>用</w:t>
      </w:r>
      <w:r>
        <w:rPr>
          <w:snapToGrid w:val="0"/>
          <w:color w:val="000000"/>
          <w:kern w:val="0"/>
          <w:sz w:val="24"/>
          <w:szCs w:val="24"/>
        </w:rPr>
        <w:t>50%</w:t>
      </w:r>
      <w:r>
        <w:rPr>
          <w:snapToGrid w:val="0"/>
          <w:color w:val="000000"/>
          <w:kern w:val="0"/>
          <w:sz w:val="24"/>
          <w:szCs w:val="24"/>
        </w:rPr>
        <w:t>乙醇定量稀释制成每</w:t>
      </w:r>
      <w:r>
        <w:rPr>
          <w:snapToGrid w:val="0"/>
          <w:color w:val="000000"/>
          <w:kern w:val="0"/>
          <w:sz w:val="24"/>
          <w:szCs w:val="24"/>
        </w:rPr>
        <w:t>1mL</w:t>
      </w:r>
      <w:r>
        <w:rPr>
          <w:snapToGrid w:val="0"/>
          <w:color w:val="000000"/>
          <w:kern w:val="0"/>
          <w:sz w:val="24"/>
          <w:szCs w:val="24"/>
        </w:rPr>
        <w:t>中分别约含</w:t>
      </w:r>
      <w:r>
        <w:rPr>
          <w:snapToGrid w:val="0"/>
          <w:color w:val="000000"/>
          <w:kern w:val="0"/>
          <w:sz w:val="24"/>
          <w:szCs w:val="24"/>
        </w:rPr>
        <w:t>0.01</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0.02</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0.05</w:t>
      </w:r>
      <w:r>
        <w:rPr>
          <w:sz w:val="24"/>
          <w:szCs w:val="24"/>
        </w:rPr>
        <w:t>µ</w:t>
      </w:r>
      <w:r>
        <w:rPr>
          <w:snapToGrid w:val="0"/>
          <w:color w:val="000000"/>
          <w:kern w:val="0"/>
          <w:sz w:val="24"/>
          <w:szCs w:val="24"/>
        </w:rPr>
        <w:t>g</w:t>
      </w:r>
      <w:r>
        <w:rPr>
          <w:snapToGrid w:val="0"/>
          <w:color w:val="000000"/>
          <w:kern w:val="0"/>
          <w:sz w:val="24"/>
          <w:szCs w:val="24"/>
        </w:rPr>
        <w:t>、</w:t>
      </w:r>
      <w:r>
        <w:rPr>
          <w:snapToGrid w:val="0"/>
          <w:color w:val="000000"/>
          <w:kern w:val="0"/>
          <w:sz w:val="24"/>
          <w:szCs w:val="24"/>
        </w:rPr>
        <w:t>0.08</w:t>
      </w:r>
      <w:r>
        <w:rPr>
          <w:sz w:val="24"/>
          <w:szCs w:val="24"/>
        </w:rPr>
        <w:t>µ</w:t>
      </w:r>
      <w:r>
        <w:rPr>
          <w:snapToGrid w:val="0"/>
          <w:color w:val="000000"/>
          <w:kern w:val="0"/>
          <w:sz w:val="24"/>
          <w:szCs w:val="24"/>
        </w:rPr>
        <w:t>g</w:t>
      </w:r>
      <w:r>
        <w:rPr>
          <w:snapToGrid w:val="0"/>
          <w:color w:val="000000"/>
          <w:kern w:val="0"/>
          <w:sz w:val="24"/>
          <w:szCs w:val="24"/>
        </w:rPr>
        <w:t>和</w:t>
      </w:r>
      <w:r>
        <w:rPr>
          <w:snapToGrid w:val="0"/>
          <w:color w:val="000000"/>
          <w:kern w:val="0"/>
          <w:sz w:val="24"/>
          <w:szCs w:val="24"/>
        </w:rPr>
        <w:t>0.1</w:t>
      </w:r>
      <w:r>
        <w:rPr>
          <w:sz w:val="24"/>
          <w:szCs w:val="24"/>
        </w:rPr>
        <w:t>µ</w:t>
      </w:r>
      <w:r>
        <w:rPr>
          <w:snapToGrid w:val="0"/>
          <w:color w:val="000000"/>
          <w:kern w:val="0"/>
          <w:sz w:val="24"/>
          <w:szCs w:val="24"/>
        </w:rPr>
        <w:t>g</w:t>
      </w:r>
      <w:r>
        <w:rPr>
          <w:snapToGrid w:val="0"/>
          <w:color w:val="000000"/>
          <w:kern w:val="0"/>
          <w:sz w:val="24"/>
          <w:szCs w:val="24"/>
        </w:rPr>
        <w:t>的溶液，作为对照品溶液。</w:t>
      </w:r>
      <w:r>
        <w:rPr>
          <w:sz w:val="24"/>
          <w:szCs w:val="24"/>
        </w:rPr>
        <w:t>精密量取上述对照品溶液各</w:t>
      </w:r>
      <w:r>
        <w:rPr>
          <w:sz w:val="24"/>
          <w:szCs w:val="24"/>
        </w:rPr>
        <w:t xml:space="preserve">10 </w:t>
      </w:r>
      <w:r>
        <w:rPr>
          <w:sz w:val="24"/>
          <w:szCs w:val="24"/>
        </w:rPr>
        <w:t>µl</w:t>
      </w:r>
      <w:r>
        <w:rPr>
          <w:sz w:val="24"/>
          <w:szCs w:val="24"/>
        </w:rPr>
        <w:t>，分别注入液相色谱仪，测定峰面积，以峰面积为纵坐标，浓度为横坐标，绘制标准曲线。</w:t>
      </w:r>
    </w:p>
    <w:p w:rsidR="0008603F" w:rsidRDefault="004C673F">
      <w:pPr>
        <w:spacing w:line="360" w:lineRule="auto"/>
        <w:ind w:firstLineChars="200" w:firstLine="482"/>
        <w:rPr>
          <w:sz w:val="24"/>
          <w:szCs w:val="24"/>
        </w:rPr>
      </w:pPr>
      <w:r>
        <w:rPr>
          <w:b/>
          <w:bCs/>
          <w:color w:val="000000" w:themeColor="text1"/>
          <w:sz w:val="24"/>
          <w:szCs w:val="24"/>
        </w:rPr>
        <w:t>测定法</w:t>
      </w:r>
      <w:r>
        <w:rPr>
          <w:b/>
          <w:bCs/>
          <w:color w:val="000000" w:themeColor="text1"/>
          <w:sz w:val="24"/>
          <w:szCs w:val="24"/>
        </w:rPr>
        <w:t xml:space="preserve"> </w:t>
      </w:r>
      <w:r>
        <w:rPr>
          <w:sz w:val="24"/>
        </w:rPr>
        <w:t>精</w:t>
      </w:r>
      <w:r>
        <w:rPr>
          <w:sz w:val="24"/>
          <w:szCs w:val="24"/>
        </w:rPr>
        <w:t>密量取空白溶液和供试品溶液各</w:t>
      </w:r>
      <w:r>
        <w:rPr>
          <w:sz w:val="24"/>
          <w:szCs w:val="24"/>
        </w:rPr>
        <w:t>3µl</w:t>
      </w:r>
      <w:r>
        <w:rPr>
          <w:sz w:val="24"/>
          <w:szCs w:val="24"/>
        </w:rPr>
        <w:t>，分别注入液相色谱</w:t>
      </w:r>
      <w:r>
        <w:rPr>
          <w:sz w:val="24"/>
          <w:szCs w:val="24"/>
        </w:rPr>
        <w:t>-</w:t>
      </w:r>
      <w:r>
        <w:rPr>
          <w:sz w:val="24"/>
          <w:szCs w:val="24"/>
        </w:rPr>
        <w:t>质谱联用仪，记录色谱图，测定双酚</w:t>
      </w:r>
      <w:r>
        <w:rPr>
          <w:sz w:val="24"/>
          <w:szCs w:val="24"/>
        </w:rPr>
        <w:t>A</w:t>
      </w:r>
      <w:r>
        <w:rPr>
          <w:sz w:val="24"/>
          <w:szCs w:val="24"/>
        </w:rPr>
        <w:t>定量离子峰面积，从标准曲线上确定供试品溶液中双酚</w:t>
      </w:r>
      <w:r>
        <w:rPr>
          <w:sz w:val="24"/>
          <w:szCs w:val="24"/>
        </w:rPr>
        <w:t>A</w:t>
      </w:r>
      <w:r>
        <w:rPr>
          <w:sz w:val="24"/>
          <w:szCs w:val="24"/>
        </w:rPr>
        <w:t>的量，计算，即得。</w:t>
      </w:r>
    </w:p>
    <w:p w:rsidR="0008603F" w:rsidRDefault="004C673F">
      <w:pPr>
        <w:pStyle w:val="a4"/>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121285</wp:posOffset>
                </wp:positionV>
                <wp:extent cx="5234940" cy="15240"/>
                <wp:effectExtent l="0" t="0" r="2286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020092FA"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08603F" w:rsidRDefault="004C673F">
      <w:pPr>
        <w:pStyle w:val="a4"/>
        <w:suppressLineNumbers/>
        <w:spacing w:line="360" w:lineRule="auto"/>
        <w:jc w:val="left"/>
        <w:rPr>
          <w:rFonts w:ascii="Times New Roman" w:hAnsi="Times New Roman" w:cs="Times New Roman"/>
          <w:sz w:val="24"/>
          <w:szCs w:val="24"/>
        </w:rPr>
      </w:pPr>
      <w:r>
        <w:rPr>
          <w:rFonts w:ascii="Times New Roman" w:hAnsi="Times New Roman" w:cs="Times New Roman"/>
          <w:sz w:val="24"/>
          <w:szCs w:val="24"/>
        </w:rPr>
        <w:t>起草单位：上海市食品药品包装材料测试所</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021-50798235</w:t>
      </w:r>
    </w:p>
    <w:p w:rsidR="0008603F" w:rsidRDefault="004C673F">
      <w:pPr>
        <w:pStyle w:val="a4"/>
        <w:suppressLineNumbers/>
        <w:spacing w:line="360" w:lineRule="auto"/>
        <w:jc w:val="left"/>
        <w:rPr>
          <w:rFonts w:ascii="Times New Roman" w:hAnsi="Times New Roman" w:cs="Times New Roman"/>
          <w:sz w:val="24"/>
          <w:szCs w:val="24"/>
        </w:rPr>
      </w:pPr>
      <w:r>
        <w:rPr>
          <w:rFonts w:ascii="Times New Roman" w:hAnsi="Times New Roman" w:cs="Times New Roman"/>
          <w:sz w:val="24"/>
          <w:szCs w:val="24"/>
        </w:rPr>
        <w:t>参与单位：北京市药品包装材料检验所、上海现代药物制剂工程研究中心有限公司（国家食品药品监督管理局药品包装材料科研检验中心）</w:t>
      </w:r>
      <w:r>
        <w:rPr>
          <w:b/>
          <w:sz w:val="24"/>
          <w:szCs w:val="24"/>
        </w:rPr>
        <w:br w:type="page"/>
      </w:r>
    </w:p>
    <w:p w:rsidR="0008603F" w:rsidRDefault="004C673F">
      <w:pPr>
        <w:pStyle w:val="a4"/>
        <w:suppressLineNumber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金属涂料涂层双酚</w:t>
      </w:r>
      <w:r>
        <w:rPr>
          <w:rFonts w:ascii="Times New Roman" w:hAnsi="Times New Roman" w:cs="Times New Roman"/>
          <w:b/>
          <w:sz w:val="24"/>
          <w:szCs w:val="24"/>
        </w:rPr>
        <w:t>A</w:t>
      </w:r>
      <w:r>
        <w:rPr>
          <w:rFonts w:ascii="Times New Roman" w:hAnsi="Times New Roman" w:cs="Times New Roman"/>
          <w:b/>
          <w:sz w:val="24"/>
          <w:szCs w:val="24"/>
        </w:rPr>
        <w:t>单体</w:t>
      </w:r>
      <w:r>
        <w:rPr>
          <w:rFonts w:ascii="Times New Roman" w:hAnsi="Times New Roman" w:cs="Times New Roman" w:hint="eastAsia"/>
          <w:b/>
          <w:sz w:val="24"/>
          <w:szCs w:val="24"/>
        </w:rPr>
        <w:t>浸出量</w:t>
      </w:r>
      <w:r>
        <w:rPr>
          <w:rFonts w:ascii="Times New Roman" w:hAnsi="Times New Roman" w:cs="Times New Roman"/>
          <w:b/>
          <w:sz w:val="24"/>
          <w:szCs w:val="24"/>
        </w:rPr>
        <w:t>测定法</w:t>
      </w:r>
      <w:r>
        <w:rPr>
          <w:rFonts w:ascii="Times New Roman" w:hAnsi="Times New Roman" w:cs="Times New Roman" w:hint="eastAsia"/>
          <w:b/>
          <w:sz w:val="24"/>
          <w:szCs w:val="24"/>
        </w:rPr>
        <w:t>起草</w:t>
      </w:r>
      <w:r>
        <w:rPr>
          <w:rFonts w:ascii="Times New Roman" w:hAnsi="Times New Roman" w:cs="Times New Roman"/>
          <w:b/>
          <w:sz w:val="24"/>
          <w:szCs w:val="24"/>
        </w:rPr>
        <w:t>说明</w:t>
      </w:r>
    </w:p>
    <w:p w:rsidR="0008603F" w:rsidRDefault="0008603F">
      <w:pPr>
        <w:pStyle w:val="a4"/>
        <w:suppressLineNumbers/>
        <w:spacing w:line="360" w:lineRule="auto"/>
        <w:rPr>
          <w:rFonts w:ascii="Times New Roman" w:hAnsi="Times New Roman" w:cs="Times New Roman"/>
          <w:color w:val="FF0000"/>
          <w:sz w:val="24"/>
          <w:szCs w:val="24"/>
        </w:rPr>
      </w:pPr>
    </w:p>
    <w:p w:rsidR="0008603F" w:rsidRDefault="004C673F">
      <w:pPr>
        <w:pStyle w:val="a4"/>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制修订的目的意义</w:t>
      </w:r>
    </w:p>
    <w:p w:rsidR="0008603F" w:rsidRDefault="004C673F">
      <w:pPr>
        <w:pStyle w:val="a4"/>
        <w:suppressLineNumbers/>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为了有效加强对药用金属罐中涂料涂层的质量控制，保证药品质量，便于药品生产企业的使用。根据国家药典委员会</w:t>
      </w:r>
      <w:r>
        <w:rPr>
          <w:rFonts w:ascii="Times New Roman" w:hAnsi="Times New Roman" w:cs="Times New Roman" w:hint="eastAsia"/>
          <w:sz w:val="24"/>
          <w:szCs w:val="24"/>
        </w:rPr>
        <w:t>对</w:t>
      </w:r>
      <w:r>
        <w:rPr>
          <w:rFonts w:ascii="Times New Roman" w:hAnsi="Times New Roman" w:cs="Times New Roman"/>
          <w:sz w:val="24"/>
          <w:szCs w:val="24"/>
        </w:rPr>
        <w:t>构建药包材标准体系的要求，制订金属涂料涂层双酚</w:t>
      </w:r>
      <w:r>
        <w:rPr>
          <w:rFonts w:ascii="Times New Roman" w:hAnsi="Times New Roman" w:cs="Times New Roman"/>
          <w:sz w:val="24"/>
          <w:szCs w:val="24"/>
        </w:rPr>
        <w:t>A</w:t>
      </w:r>
      <w:r>
        <w:rPr>
          <w:rFonts w:ascii="Times New Roman" w:hAnsi="Times New Roman" w:cs="Times New Roman"/>
          <w:sz w:val="24"/>
          <w:szCs w:val="24"/>
        </w:rPr>
        <w:t>单体</w:t>
      </w:r>
      <w:r>
        <w:rPr>
          <w:rFonts w:ascii="Times New Roman" w:hAnsi="Times New Roman" w:cs="Times New Roman" w:hint="eastAsia"/>
          <w:sz w:val="24"/>
          <w:szCs w:val="24"/>
        </w:rPr>
        <w:t>浸出量</w:t>
      </w:r>
      <w:r>
        <w:rPr>
          <w:rFonts w:ascii="Times New Roman" w:hAnsi="Times New Roman" w:cs="Times New Roman"/>
          <w:sz w:val="24"/>
          <w:szCs w:val="24"/>
        </w:rPr>
        <w:t>测定法。基于此，建立符合中国药典要求的、稳定可靠的双酚</w:t>
      </w:r>
      <w:r>
        <w:rPr>
          <w:rFonts w:ascii="Times New Roman" w:hAnsi="Times New Roman" w:cs="Times New Roman"/>
          <w:sz w:val="24"/>
          <w:szCs w:val="24"/>
        </w:rPr>
        <w:t>A</w:t>
      </w:r>
      <w:r>
        <w:rPr>
          <w:rFonts w:ascii="Times New Roman" w:hAnsi="Times New Roman" w:cs="Times New Roman"/>
          <w:sz w:val="24"/>
          <w:szCs w:val="24"/>
        </w:rPr>
        <w:t>测定法具有重要意义。形成</w:t>
      </w:r>
      <w:r>
        <w:rPr>
          <w:rFonts w:ascii="Times New Roman" w:hAnsi="Times New Roman" w:cs="Times New Roman" w:hint="eastAsia"/>
          <w:sz w:val="24"/>
          <w:szCs w:val="24"/>
        </w:rPr>
        <w:t>“</w:t>
      </w:r>
      <w:r>
        <w:rPr>
          <w:rFonts w:ascii="Times New Roman" w:hAnsi="Times New Roman" w:cs="Times New Roman"/>
          <w:sz w:val="24"/>
          <w:szCs w:val="24"/>
        </w:rPr>
        <w:t>金属涂料涂层双酚</w:t>
      </w:r>
      <w:r>
        <w:rPr>
          <w:rFonts w:ascii="Times New Roman" w:hAnsi="Times New Roman" w:cs="Times New Roman"/>
          <w:sz w:val="24"/>
          <w:szCs w:val="24"/>
        </w:rPr>
        <w:t>A</w:t>
      </w:r>
      <w:r>
        <w:rPr>
          <w:rFonts w:ascii="Times New Roman" w:hAnsi="Times New Roman" w:cs="Times New Roman"/>
          <w:sz w:val="24"/>
          <w:szCs w:val="24"/>
        </w:rPr>
        <w:t>单体</w:t>
      </w:r>
      <w:r>
        <w:rPr>
          <w:rFonts w:ascii="Times New Roman" w:hAnsi="Times New Roman" w:cs="Times New Roman" w:hint="eastAsia"/>
          <w:sz w:val="24"/>
          <w:szCs w:val="24"/>
        </w:rPr>
        <w:t>浸出量</w:t>
      </w:r>
      <w:r>
        <w:rPr>
          <w:rFonts w:ascii="Times New Roman" w:hAnsi="Times New Roman" w:cs="Times New Roman"/>
          <w:sz w:val="24"/>
          <w:szCs w:val="24"/>
        </w:rPr>
        <w:t>测定法</w:t>
      </w:r>
      <w:r>
        <w:rPr>
          <w:rFonts w:ascii="Times New Roman" w:hAnsi="Times New Roman" w:cs="Times New Roman" w:hint="eastAsia"/>
          <w:sz w:val="24"/>
          <w:szCs w:val="24"/>
        </w:rPr>
        <w:t>”</w:t>
      </w:r>
      <w:r>
        <w:rPr>
          <w:rFonts w:ascii="Times New Roman" w:hAnsi="Times New Roman" w:cs="Times New Roman"/>
          <w:sz w:val="24"/>
          <w:szCs w:val="24"/>
        </w:rPr>
        <w:t>方法标准，科学有效指导药包材金属涂料涂层中双酚</w:t>
      </w:r>
      <w:r>
        <w:rPr>
          <w:rFonts w:ascii="Times New Roman" w:hAnsi="Times New Roman" w:cs="Times New Roman"/>
          <w:sz w:val="24"/>
          <w:szCs w:val="24"/>
        </w:rPr>
        <w:t>A</w:t>
      </w:r>
      <w:r>
        <w:rPr>
          <w:rFonts w:ascii="Times New Roman" w:hAnsi="Times New Roman" w:cs="Times New Roman"/>
          <w:sz w:val="24"/>
          <w:szCs w:val="24"/>
        </w:rPr>
        <w:t>单体</w:t>
      </w:r>
      <w:r>
        <w:rPr>
          <w:rFonts w:ascii="Times New Roman" w:hAnsi="Times New Roman" w:cs="Times New Roman" w:hint="eastAsia"/>
          <w:sz w:val="24"/>
          <w:szCs w:val="24"/>
        </w:rPr>
        <w:t>浸出量</w:t>
      </w:r>
      <w:r>
        <w:rPr>
          <w:rFonts w:ascii="Times New Roman" w:hAnsi="Times New Roman" w:cs="Times New Roman"/>
          <w:sz w:val="24"/>
          <w:szCs w:val="24"/>
        </w:rPr>
        <w:t>的测定。</w:t>
      </w:r>
    </w:p>
    <w:p w:rsidR="0008603F" w:rsidRDefault="004C673F">
      <w:pPr>
        <w:pStyle w:val="a4"/>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制订的总体思路</w:t>
      </w:r>
    </w:p>
    <w:p w:rsidR="0008603F" w:rsidRDefault="004C673F">
      <w:pPr>
        <w:pStyle w:val="a4"/>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color w:val="000000" w:themeColor="text1"/>
          <w:sz w:val="24"/>
          <w:szCs w:val="24"/>
        </w:rPr>
        <w:t>遵循药典委对药包材标准体系的架构思路，</w:t>
      </w:r>
      <w:r>
        <w:rPr>
          <w:rFonts w:ascii="Times New Roman" w:hAnsi="Times New Roman" w:cs="Times New Roman"/>
          <w:sz w:val="24"/>
          <w:szCs w:val="24"/>
        </w:rPr>
        <w:t>参考国家标准《食品安全国家标准</w:t>
      </w:r>
      <w:r>
        <w:rPr>
          <w:rFonts w:ascii="Times New Roman" w:hAnsi="Times New Roman" w:cs="Times New Roman"/>
          <w:sz w:val="24"/>
          <w:szCs w:val="24"/>
        </w:rPr>
        <w:t xml:space="preserve"> </w:t>
      </w:r>
      <w:r>
        <w:rPr>
          <w:rFonts w:ascii="Times New Roman" w:hAnsi="Times New Roman" w:cs="Times New Roman"/>
          <w:sz w:val="24"/>
          <w:szCs w:val="24"/>
        </w:rPr>
        <w:t>食品接触材料及制品</w:t>
      </w:r>
      <w:r>
        <w:rPr>
          <w:rFonts w:ascii="Times New Roman" w:hAnsi="Times New Roman" w:cs="Times New Roman"/>
          <w:sz w:val="24"/>
          <w:szCs w:val="24"/>
        </w:rPr>
        <w:t xml:space="preserve"> </w:t>
      </w:r>
      <w:r>
        <w:rPr>
          <w:rFonts w:ascii="Times New Roman" w:hAnsi="Times New Roman" w:cs="Times New Roman"/>
          <w:sz w:val="24"/>
          <w:szCs w:val="24"/>
        </w:rPr>
        <w:t>双酚</w:t>
      </w:r>
      <w:r>
        <w:rPr>
          <w:rFonts w:ascii="Times New Roman" w:hAnsi="Times New Roman" w:cs="Times New Roman"/>
          <w:sz w:val="24"/>
          <w:szCs w:val="24"/>
        </w:rPr>
        <w:t>A</w:t>
      </w:r>
      <w:r>
        <w:rPr>
          <w:rFonts w:ascii="Times New Roman" w:hAnsi="Times New Roman" w:cs="Times New Roman"/>
          <w:sz w:val="24"/>
          <w:szCs w:val="24"/>
        </w:rPr>
        <w:t>迁移量的测定》</w:t>
      </w:r>
      <w:r>
        <w:rPr>
          <w:rFonts w:ascii="Times New Roman" w:hAnsi="Times New Roman" w:cs="Times New Roman"/>
          <w:sz w:val="24"/>
          <w:szCs w:val="24"/>
        </w:rPr>
        <w:t>GB31604.1</w:t>
      </w:r>
      <w:r>
        <w:rPr>
          <w:rFonts w:ascii="Times New Roman" w:hAnsi="Times New Roman" w:cs="Times New Roman"/>
          <w:sz w:val="24"/>
          <w:szCs w:val="24"/>
        </w:rPr>
        <w:t>0-2016</w:t>
      </w:r>
      <w:r>
        <w:rPr>
          <w:rFonts w:ascii="Times New Roman" w:hAnsi="Times New Roman" w:cs="Times New Roman"/>
          <w:sz w:val="24"/>
          <w:szCs w:val="24"/>
        </w:rPr>
        <w:t>，参考文献结合实验验证，制定该标准。</w:t>
      </w:r>
    </w:p>
    <w:p w:rsidR="0008603F" w:rsidRDefault="004C673F">
      <w:pPr>
        <w:pStyle w:val="a4"/>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color w:val="000000" w:themeColor="text1"/>
          <w:sz w:val="24"/>
          <w:szCs w:val="24"/>
        </w:rPr>
        <w:t>本标准为新增的方法标准，不设立限度。</w:t>
      </w:r>
    </w:p>
    <w:p w:rsidR="0008603F" w:rsidRDefault="0008603F">
      <w:pPr>
        <w:pStyle w:val="a4"/>
        <w:suppressLineNumbers/>
        <w:spacing w:line="360" w:lineRule="auto"/>
        <w:ind w:firstLineChars="200" w:firstLine="400"/>
        <w:jc w:val="left"/>
        <w:rPr>
          <w:rFonts w:ascii="Times New Roman" w:hAnsi="Times New Roman" w:cs="Times New Roman"/>
        </w:rPr>
      </w:pPr>
    </w:p>
    <w:sectPr w:rsidR="0008603F">
      <w:headerReference w:type="default" r:id="rId9"/>
      <w:footerReference w:type="default" r:id="rId10"/>
      <w:endnotePr>
        <w:numFmt w:val="decimal"/>
      </w:endnotePr>
      <w:pgSz w:w="12240" w:h="15840"/>
      <w:pgMar w:top="1134" w:right="2552" w:bottom="1134" w:left="1701"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3F" w:rsidRDefault="004C673F">
      <w:r>
        <w:separator/>
      </w:r>
    </w:p>
  </w:endnote>
  <w:endnote w:type="continuationSeparator" w:id="0">
    <w:p w:rsidR="004C673F" w:rsidRDefault="004C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3F" w:rsidRDefault="004C673F">
    <w:pPr>
      <w:pStyle w:val="a8"/>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17181E" w:rsidRPr="0017181E">
      <w:rPr>
        <w:rFonts w:ascii="华文仿宋" w:eastAsia="华文仿宋" w:hAnsi="华文仿宋" w:cs="华文仿宋"/>
        <w:noProof/>
        <w:sz w:val="21"/>
        <w:szCs w:val="21"/>
        <w:lang w:val="zh-CN"/>
      </w:rPr>
      <w:t>3</w:t>
    </w:r>
    <w:r>
      <w:rPr>
        <w:rFonts w:ascii="华文仿宋" w:eastAsia="华文仿宋" w:hAnsi="华文仿宋" w:cs="华文仿宋"/>
        <w:sz w:val="21"/>
        <w:szCs w:val="21"/>
      </w:rPr>
      <w:fldChar w:fldCharType="end"/>
    </w:r>
  </w:p>
  <w:p w:rsidR="0008603F" w:rsidRDefault="0008603F">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3F" w:rsidRDefault="004C673F">
      <w:r>
        <w:separator/>
      </w:r>
    </w:p>
  </w:footnote>
  <w:footnote w:type="continuationSeparator" w:id="0">
    <w:p w:rsidR="004C673F" w:rsidRDefault="004C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3F" w:rsidRDefault="004C673F">
    <w:pPr>
      <w:pStyle w:val="aa"/>
      <w:tabs>
        <w:tab w:val="clear" w:pos="4153"/>
        <w:tab w:val="clear" w:pos="8306"/>
        <w:tab w:val="center" w:pos="3993"/>
        <w:tab w:val="right" w:pos="7987"/>
      </w:tabs>
      <w:jc w:val="right"/>
      <w:rPr>
        <w:rFonts w:ascii="Times New Roman" w:hAnsi="Times New Roman"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2049" type="#_x0000_t136" style="position:absolute;left:0;text-align:left;margin-left:0;margin-top:0;width:478.3pt;height:108.95pt;rotation:-45;z-index:-251658752;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Pr>
        <w:rFonts w:ascii="Times New Roman" w:hAnsi="Times New Roman" w:cs="Times New Roman"/>
      </w:rPr>
      <w:t>2023</w:t>
    </w:r>
    <w:r>
      <w:rPr>
        <w:rFonts w:ascii="Times New Roman" w:hAnsi="Times New Roman" w:cs="Times New Roman"/>
      </w:rPr>
      <w:t>年</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10E"/>
    <w:multiLevelType w:val="multilevel"/>
    <w:tmpl w:val="0F90410E"/>
    <w:lvl w:ilvl="0">
      <w:start w:val="1"/>
      <w:numFmt w:val="japaneseCounting"/>
      <w:lvlText w:val="%1、"/>
      <w:lvlJc w:val="left"/>
      <w:pPr>
        <w:ind w:left="7143"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mJiZjU4ZDk2ZWQzYWRhMDE1MTIwNzNlYTRjMjUifQ=="/>
  </w:docVars>
  <w:rsids>
    <w:rsidRoot w:val="008E37A6"/>
    <w:rsid w:val="0000648D"/>
    <w:rsid w:val="0001757F"/>
    <w:rsid w:val="00043AF2"/>
    <w:rsid w:val="000670AB"/>
    <w:rsid w:val="0008603F"/>
    <w:rsid w:val="00094D58"/>
    <w:rsid w:val="000F629C"/>
    <w:rsid w:val="00140705"/>
    <w:rsid w:val="0017181E"/>
    <w:rsid w:val="0019290A"/>
    <w:rsid w:val="002071FB"/>
    <w:rsid w:val="0023062F"/>
    <w:rsid w:val="00245B9A"/>
    <w:rsid w:val="002605FC"/>
    <w:rsid w:val="00260EA6"/>
    <w:rsid w:val="0027483E"/>
    <w:rsid w:val="002B2297"/>
    <w:rsid w:val="00335D56"/>
    <w:rsid w:val="00376D0A"/>
    <w:rsid w:val="00394ABC"/>
    <w:rsid w:val="00402F22"/>
    <w:rsid w:val="00435830"/>
    <w:rsid w:val="00454388"/>
    <w:rsid w:val="00484B0F"/>
    <w:rsid w:val="004C673F"/>
    <w:rsid w:val="005137B2"/>
    <w:rsid w:val="00513E0F"/>
    <w:rsid w:val="00531AA1"/>
    <w:rsid w:val="005334F6"/>
    <w:rsid w:val="005356A8"/>
    <w:rsid w:val="00537F60"/>
    <w:rsid w:val="0054585D"/>
    <w:rsid w:val="00581CF9"/>
    <w:rsid w:val="005B1D6D"/>
    <w:rsid w:val="005D4316"/>
    <w:rsid w:val="005E2C75"/>
    <w:rsid w:val="006279DA"/>
    <w:rsid w:val="00634F5E"/>
    <w:rsid w:val="00635257"/>
    <w:rsid w:val="00667751"/>
    <w:rsid w:val="0069771B"/>
    <w:rsid w:val="006E316A"/>
    <w:rsid w:val="00701D75"/>
    <w:rsid w:val="00730820"/>
    <w:rsid w:val="00756B7C"/>
    <w:rsid w:val="00786615"/>
    <w:rsid w:val="007C4BBA"/>
    <w:rsid w:val="00823CDF"/>
    <w:rsid w:val="00847ADB"/>
    <w:rsid w:val="008B5614"/>
    <w:rsid w:val="008C6747"/>
    <w:rsid w:val="008E37A6"/>
    <w:rsid w:val="008E62FB"/>
    <w:rsid w:val="00976306"/>
    <w:rsid w:val="009A3BAE"/>
    <w:rsid w:val="009B29B8"/>
    <w:rsid w:val="009D0C90"/>
    <w:rsid w:val="00A36633"/>
    <w:rsid w:val="00A85833"/>
    <w:rsid w:val="00AE46F9"/>
    <w:rsid w:val="00B07CD6"/>
    <w:rsid w:val="00B07E7C"/>
    <w:rsid w:val="00B518A5"/>
    <w:rsid w:val="00B86E1A"/>
    <w:rsid w:val="00BB1776"/>
    <w:rsid w:val="00BC72DC"/>
    <w:rsid w:val="00C656DA"/>
    <w:rsid w:val="00C750D4"/>
    <w:rsid w:val="00C82A67"/>
    <w:rsid w:val="00CE4E6B"/>
    <w:rsid w:val="00CF3DA7"/>
    <w:rsid w:val="00DB6975"/>
    <w:rsid w:val="00DF43CD"/>
    <w:rsid w:val="00E0365F"/>
    <w:rsid w:val="00E200C2"/>
    <w:rsid w:val="00E21684"/>
    <w:rsid w:val="00E51DBA"/>
    <w:rsid w:val="00EB0165"/>
    <w:rsid w:val="00F318C4"/>
    <w:rsid w:val="00F54AC2"/>
    <w:rsid w:val="00F57000"/>
    <w:rsid w:val="00F8512B"/>
    <w:rsid w:val="00FA0104"/>
    <w:rsid w:val="00FB0226"/>
    <w:rsid w:val="00FB166C"/>
    <w:rsid w:val="00FE50AA"/>
    <w:rsid w:val="03F31506"/>
    <w:rsid w:val="0C940276"/>
    <w:rsid w:val="0D7C3DC9"/>
    <w:rsid w:val="0ED71A24"/>
    <w:rsid w:val="122E5DFF"/>
    <w:rsid w:val="12E0534B"/>
    <w:rsid w:val="132D4308"/>
    <w:rsid w:val="136046DE"/>
    <w:rsid w:val="14885C9A"/>
    <w:rsid w:val="163065E9"/>
    <w:rsid w:val="17A8074E"/>
    <w:rsid w:val="18954E2A"/>
    <w:rsid w:val="19092111"/>
    <w:rsid w:val="19BC25FE"/>
    <w:rsid w:val="20144886"/>
    <w:rsid w:val="201E5C2D"/>
    <w:rsid w:val="20D72C36"/>
    <w:rsid w:val="215D4E0D"/>
    <w:rsid w:val="21E464DA"/>
    <w:rsid w:val="22192627"/>
    <w:rsid w:val="235D6544"/>
    <w:rsid w:val="260855AE"/>
    <w:rsid w:val="2852419D"/>
    <w:rsid w:val="28F17E5A"/>
    <w:rsid w:val="2A9071FF"/>
    <w:rsid w:val="30361425"/>
    <w:rsid w:val="326B5230"/>
    <w:rsid w:val="38F80D91"/>
    <w:rsid w:val="3B247C1B"/>
    <w:rsid w:val="3DBC05DF"/>
    <w:rsid w:val="4105404B"/>
    <w:rsid w:val="410D4CAE"/>
    <w:rsid w:val="46D22C21"/>
    <w:rsid w:val="499046CE"/>
    <w:rsid w:val="4A26089C"/>
    <w:rsid w:val="4D81220D"/>
    <w:rsid w:val="54F95087"/>
    <w:rsid w:val="57AC287A"/>
    <w:rsid w:val="5C69772C"/>
    <w:rsid w:val="60E90E3C"/>
    <w:rsid w:val="61526A2E"/>
    <w:rsid w:val="623D746D"/>
    <w:rsid w:val="680E1188"/>
    <w:rsid w:val="6ABF49BB"/>
    <w:rsid w:val="6E3C08A1"/>
    <w:rsid w:val="6F66408F"/>
    <w:rsid w:val="709C75DE"/>
    <w:rsid w:val="735859AD"/>
    <w:rsid w:val="759C6025"/>
    <w:rsid w:val="761A1A3F"/>
    <w:rsid w:val="773A3D47"/>
    <w:rsid w:val="78D85EC6"/>
    <w:rsid w:val="78EC1B27"/>
    <w:rsid w:val="79AA58DE"/>
    <w:rsid w:val="7A24011B"/>
    <w:rsid w:val="7C1E3C37"/>
    <w:rsid w:val="7D6A4C5A"/>
    <w:rsid w:val="7F581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24A2FEDC"/>
  <w15:docId w15:val="{A1BCB295-4050-49AD-9449-E07490E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Arial" w:eastAsia="黑体" w:hAnsi="Arial"/>
      <w:sz w:val="20"/>
    </w:rPr>
  </w:style>
  <w:style w:type="paragraph" w:styleId="a4">
    <w:name w:val="Plain Text"/>
    <w:basedOn w:val="a"/>
    <w:link w:val="a5"/>
    <w:uiPriority w:val="99"/>
    <w:qFormat/>
    <w:rPr>
      <w:rFonts w:ascii="宋体" w:hAnsi="Courier New" w:cs="宋体"/>
      <w:kern w:val="0"/>
      <w:sz w:val="20"/>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cs="Calibri"/>
      <w:kern w:val="0"/>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qFormat/>
  </w:style>
  <w:style w:type="character" w:customStyle="1" w:styleId="a5">
    <w:name w:val="纯文本 字符"/>
    <w:basedOn w:val="a0"/>
    <w:link w:val="a4"/>
    <w:uiPriority w:val="99"/>
    <w:qFormat/>
    <w:rPr>
      <w:rFonts w:ascii="宋体" w:eastAsia="宋体" w:hAnsi="Courier New" w:cs="宋体"/>
      <w:kern w:val="0"/>
      <w:sz w:val="20"/>
      <w:szCs w:val="20"/>
    </w:rPr>
  </w:style>
  <w:style w:type="character" w:customStyle="1" w:styleId="a9">
    <w:name w:val="页脚 字符"/>
    <w:basedOn w:val="a0"/>
    <w:link w:val="a8"/>
    <w:uiPriority w:val="99"/>
    <w:qFormat/>
    <w:rPr>
      <w:rFonts w:ascii="Calibri" w:eastAsia="宋体" w:hAnsi="Calibri" w:cs="Calibri"/>
      <w:kern w:val="0"/>
      <w:sz w:val="18"/>
      <w:szCs w:val="18"/>
    </w:rPr>
  </w:style>
  <w:style w:type="character" w:customStyle="1" w:styleId="ab">
    <w:name w:val="页眉 字符"/>
    <w:basedOn w:val="a0"/>
    <w:link w:val="aa"/>
    <w:uiPriority w:val="99"/>
    <w:qFormat/>
    <w:rPr>
      <w:rFonts w:ascii="Calibri" w:eastAsia="宋体" w:hAnsi="Calibri" w:cs="Calibri"/>
      <w:kern w:val="0"/>
      <w:sz w:val="18"/>
      <w:szCs w:val="18"/>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table" w:customStyle="1" w:styleId="TableNormal2">
    <w:name w:val="Table Normal2"/>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F2726-EC9B-4CBF-B07B-16FD74D4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1437</Characters>
  <Application>Microsoft Office Word</Application>
  <DocSecurity>0</DocSecurity>
  <Lines>11</Lines>
  <Paragraphs>3</Paragraphs>
  <ScaleCrop>false</ScaleCrop>
  <Company>Sky123.Org</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陈蕾</cp:lastModifiedBy>
  <cp:revision>9</cp:revision>
  <dcterms:created xsi:type="dcterms:W3CDTF">2023-11-15T07:55:00Z</dcterms:created>
  <dcterms:modified xsi:type="dcterms:W3CDTF">2023-12-04T03:49:00Z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E4CA2D5D40474AE79941825260FEF67A</vt:lpwstr>
  </property>
</Properties>
</file>