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711" w:rsidRDefault="00DF6DB4">
      <w:pPr>
        <w:suppressLineNumbers/>
        <w:adjustRightInd w:val="0"/>
        <w:snapToGrid w:val="0"/>
        <w:spacing w:line="360" w:lineRule="auto"/>
        <w:rPr>
          <w:b/>
          <w:sz w:val="24"/>
          <w:szCs w:val="24"/>
        </w:rPr>
      </w:pPr>
      <w:r>
        <w:rPr>
          <w:rFonts w:hint="eastAsia"/>
          <w:b/>
          <w:sz w:val="24"/>
          <w:szCs w:val="24"/>
        </w:rPr>
        <w:t>附件</w:t>
      </w:r>
      <w:r w:rsidR="00D94264">
        <w:rPr>
          <w:rFonts w:hint="eastAsia"/>
          <w:b/>
          <w:sz w:val="24"/>
          <w:szCs w:val="24"/>
        </w:rPr>
        <w:t>8</w:t>
      </w:r>
      <w:r>
        <w:rPr>
          <w:b/>
          <w:sz w:val="24"/>
          <w:szCs w:val="24"/>
        </w:rPr>
        <w:t>：</w:t>
      </w:r>
      <w:r w:rsidR="00856B97">
        <w:rPr>
          <w:b/>
          <w:sz w:val="24"/>
          <w:szCs w:val="24"/>
        </w:rPr>
        <w:t xml:space="preserve"> </w:t>
      </w:r>
    </w:p>
    <w:p w:rsidR="00AC7711" w:rsidRDefault="00AC7711">
      <w:pPr>
        <w:suppressLineNumbers/>
        <w:adjustRightInd w:val="0"/>
        <w:snapToGrid w:val="0"/>
        <w:spacing w:line="360" w:lineRule="auto"/>
        <w:rPr>
          <w:b/>
          <w:sz w:val="24"/>
          <w:szCs w:val="24"/>
        </w:rPr>
      </w:pPr>
    </w:p>
    <w:p w:rsidR="00AC7711" w:rsidRDefault="00AC7711">
      <w:pPr>
        <w:suppressLineNumbers/>
        <w:adjustRightInd w:val="0"/>
        <w:snapToGrid w:val="0"/>
        <w:spacing w:line="360" w:lineRule="auto"/>
        <w:rPr>
          <w:b/>
          <w:sz w:val="24"/>
          <w:szCs w:val="24"/>
        </w:rPr>
      </w:pPr>
    </w:p>
    <w:p w:rsidR="00AC7711" w:rsidRDefault="00DF6DB4">
      <w:pPr>
        <w:widowControl/>
        <w:adjustRightInd w:val="0"/>
        <w:snapToGrid w:val="0"/>
        <w:spacing w:line="360" w:lineRule="auto"/>
        <w:jc w:val="center"/>
        <w:rPr>
          <w:b/>
          <w:bCs/>
          <w:sz w:val="24"/>
          <w:szCs w:val="24"/>
        </w:rPr>
      </w:pPr>
      <w:r>
        <w:rPr>
          <w:rFonts w:hint="eastAsia"/>
          <w:b/>
          <w:bCs/>
          <w:sz w:val="24"/>
          <w:szCs w:val="24"/>
        </w:rPr>
        <w:t xml:space="preserve">5307 </w:t>
      </w:r>
      <w:r>
        <w:rPr>
          <w:rFonts w:hint="eastAsia"/>
          <w:b/>
          <w:bCs/>
          <w:sz w:val="24"/>
          <w:szCs w:val="24"/>
        </w:rPr>
        <w:t>口服固体药用</w:t>
      </w:r>
      <w:r>
        <w:rPr>
          <w:b/>
          <w:bCs/>
          <w:sz w:val="24"/>
          <w:szCs w:val="24"/>
        </w:rPr>
        <w:t>复合膜</w:t>
      </w:r>
      <w:r>
        <w:rPr>
          <w:rFonts w:hint="eastAsia"/>
          <w:b/>
          <w:bCs/>
          <w:sz w:val="24"/>
          <w:szCs w:val="24"/>
        </w:rPr>
        <w:t>及</w:t>
      </w:r>
      <w:r>
        <w:rPr>
          <w:b/>
          <w:bCs/>
          <w:sz w:val="24"/>
          <w:szCs w:val="24"/>
        </w:rPr>
        <w:t>袋</w:t>
      </w:r>
    </w:p>
    <w:p w:rsidR="00AC7711" w:rsidRDefault="00DF6DB4">
      <w:pPr>
        <w:adjustRightInd w:val="0"/>
        <w:snapToGrid w:val="0"/>
        <w:spacing w:line="360" w:lineRule="auto"/>
        <w:rPr>
          <w:b/>
          <w:bCs/>
          <w:szCs w:val="21"/>
        </w:rPr>
      </w:pPr>
      <w:r>
        <w:rPr>
          <w:b/>
          <w:szCs w:val="21"/>
        </w:rPr>
        <w:t>1</w:t>
      </w:r>
      <w:r>
        <w:rPr>
          <w:b/>
          <w:szCs w:val="21"/>
        </w:rPr>
        <w:t>范围</w:t>
      </w:r>
    </w:p>
    <w:p w:rsidR="00AC7711" w:rsidRDefault="00DF6DB4">
      <w:pPr>
        <w:widowControl/>
        <w:adjustRightInd w:val="0"/>
        <w:snapToGrid w:val="0"/>
        <w:spacing w:line="360" w:lineRule="auto"/>
        <w:ind w:firstLineChars="200" w:firstLine="420"/>
        <w:rPr>
          <w:szCs w:val="21"/>
        </w:rPr>
      </w:pPr>
      <w:r>
        <w:rPr>
          <w:rFonts w:ascii="宋体" w:hAnsi="宋体" w:cs="宋体" w:hint="eastAsia"/>
          <w:kern w:val="0"/>
          <w:szCs w:val="21"/>
        </w:rPr>
        <w:t>本通则规定了口服固体药用复合膜及袋的要求。</w:t>
      </w:r>
    </w:p>
    <w:p w:rsidR="00AC7711" w:rsidRDefault="00DF6DB4">
      <w:pPr>
        <w:adjustRightInd w:val="0"/>
        <w:snapToGrid w:val="0"/>
        <w:spacing w:line="360" w:lineRule="auto"/>
        <w:ind w:firstLine="420"/>
        <w:rPr>
          <w:szCs w:val="21"/>
        </w:rPr>
      </w:pPr>
      <w:r>
        <w:rPr>
          <w:rFonts w:ascii="宋体" w:hAnsi="宋体"/>
          <w:szCs w:val="21"/>
        </w:rPr>
        <w:t>本通则适用于</w:t>
      </w:r>
      <w:bookmarkStart w:id="0" w:name="_Hlk106659524"/>
      <w:r>
        <w:rPr>
          <w:rFonts w:ascii="宋体" w:hAnsi="宋体" w:hint="eastAsia"/>
          <w:szCs w:val="21"/>
        </w:rPr>
        <w:t>不同基材采用复合成型工艺生产用于包装口服固体制剂的复合膜</w:t>
      </w:r>
      <w:bookmarkEnd w:id="0"/>
      <w:r>
        <w:rPr>
          <w:rFonts w:ascii="宋体" w:hAnsi="宋体" w:hint="eastAsia"/>
          <w:szCs w:val="21"/>
        </w:rPr>
        <w:t>及其通过热合方式加工制成的袋。</w:t>
      </w:r>
      <w:r>
        <w:rPr>
          <w:rFonts w:ascii="宋体" w:hAnsi="宋体"/>
          <w:szCs w:val="21"/>
        </w:rPr>
        <w:t>其厚度一般不超过0.25mm</w:t>
      </w:r>
      <w:r>
        <w:rPr>
          <w:rFonts w:ascii="宋体" w:hAnsi="宋体" w:hint="eastAsia"/>
          <w:szCs w:val="21"/>
        </w:rPr>
        <w:t>。</w:t>
      </w:r>
    </w:p>
    <w:p w:rsidR="00AC7711" w:rsidRDefault="00DF6DB4">
      <w:pPr>
        <w:widowControl/>
        <w:adjustRightInd w:val="0"/>
        <w:snapToGrid w:val="0"/>
        <w:spacing w:line="360" w:lineRule="auto"/>
        <w:ind w:firstLine="420"/>
        <w:rPr>
          <w:rFonts w:cs="宋体"/>
          <w:szCs w:val="21"/>
        </w:rPr>
      </w:pPr>
      <w:r>
        <w:rPr>
          <w:rFonts w:ascii="宋体" w:hAnsi="宋体" w:hint="eastAsia"/>
          <w:szCs w:val="21"/>
        </w:rPr>
        <w:t>本通则所指复合膜主要以基材（塑料薄膜、镀铝塑料薄膜、铝箔、纸等）、油墨、胶粘剂、稀释溶剂等组成。</w:t>
      </w:r>
    </w:p>
    <w:p w:rsidR="00AC7711" w:rsidRDefault="00DF6DB4">
      <w:pPr>
        <w:adjustRightInd w:val="0"/>
        <w:snapToGrid w:val="0"/>
        <w:spacing w:line="360" w:lineRule="auto"/>
        <w:rPr>
          <w:b/>
          <w:szCs w:val="21"/>
        </w:rPr>
      </w:pPr>
      <w:r>
        <w:rPr>
          <w:rFonts w:hint="eastAsia"/>
          <w:b/>
          <w:szCs w:val="21"/>
        </w:rPr>
        <w:t>2</w:t>
      </w:r>
      <w:r>
        <w:rPr>
          <w:rFonts w:hint="eastAsia"/>
          <w:b/>
          <w:szCs w:val="21"/>
        </w:rPr>
        <w:t>规范性引用文件</w:t>
      </w:r>
    </w:p>
    <w:p w:rsidR="00AC7711" w:rsidRDefault="00DF6DB4">
      <w:pPr>
        <w:widowControl/>
        <w:adjustRightInd w:val="0"/>
        <w:snapToGrid w:val="0"/>
        <w:spacing w:line="360" w:lineRule="auto"/>
        <w:ind w:firstLine="420"/>
        <w:rPr>
          <w:rFonts w:ascii="宋体" w:hAnsi="宋体"/>
          <w:szCs w:val="21"/>
        </w:rPr>
      </w:pPr>
      <w:r>
        <w:rPr>
          <w:rFonts w:ascii="宋体" w:hAnsi="宋体" w:hint="eastAsia"/>
          <w:szCs w:val="21"/>
        </w:rPr>
        <w:t>下列文件中的内容通过文中的规范性引用而构成本通则必不可少的条款。其最新版本（包括增补本、勘误表等形式）适用于本通则。</w:t>
      </w:r>
    </w:p>
    <w:p w:rsidR="00AC7711" w:rsidRDefault="00DF6DB4">
      <w:pPr>
        <w:adjustRightInd w:val="0"/>
        <w:snapToGrid w:val="0"/>
        <w:spacing w:line="360" w:lineRule="auto"/>
        <w:ind w:firstLine="420"/>
        <w:rPr>
          <w:bCs/>
          <w:szCs w:val="21"/>
        </w:rPr>
      </w:pPr>
      <w:r>
        <w:rPr>
          <w:rFonts w:hint="eastAsia"/>
          <w:bCs/>
          <w:szCs w:val="21"/>
        </w:rPr>
        <w:t>通则</w:t>
      </w:r>
      <w:r>
        <w:rPr>
          <w:rFonts w:hint="eastAsia"/>
          <w:szCs w:val="21"/>
        </w:rPr>
        <w:t>5300</w:t>
      </w:r>
      <w:r>
        <w:rPr>
          <w:rFonts w:hint="eastAsia"/>
          <w:bCs/>
          <w:szCs w:val="21"/>
        </w:rPr>
        <w:t>药品包装用塑料容器及组件通则</w:t>
      </w:r>
      <w:r>
        <w:rPr>
          <w:rFonts w:hint="eastAsia"/>
          <w:szCs w:val="21"/>
        </w:rPr>
        <w:t>（已</w:t>
      </w:r>
      <w:r w:rsidR="00297299">
        <w:rPr>
          <w:rFonts w:hint="eastAsia"/>
          <w:szCs w:val="21"/>
        </w:rPr>
        <w:t>公示</w:t>
      </w:r>
      <w:r>
        <w:rPr>
          <w:rFonts w:hint="eastAsia"/>
          <w:szCs w:val="21"/>
        </w:rPr>
        <w:t>）</w:t>
      </w:r>
    </w:p>
    <w:p w:rsidR="00AC7711" w:rsidRDefault="00DF6DB4">
      <w:pPr>
        <w:adjustRightInd w:val="0"/>
        <w:snapToGrid w:val="0"/>
        <w:spacing w:line="360" w:lineRule="auto"/>
        <w:ind w:firstLine="420"/>
        <w:rPr>
          <w:bCs/>
          <w:szCs w:val="21"/>
        </w:rPr>
      </w:pPr>
      <w:r>
        <w:rPr>
          <w:szCs w:val="21"/>
        </w:rPr>
        <w:t>通则</w:t>
      </w:r>
      <w:r>
        <w:rPr>
          <w:szCs w:val="21"/>
        </w:rPr>
        <w:t xml:space="preserve">4002 </w:t>
      </w:r>
      <w:r>
        <w:rPr>
          <w:szCs w:val="21"/>
        </w:rPr>
        <w:t>包装材料红外光谱测定法</w:t>
      </w:r>
      <w:r>
        <w:rPr>
          <w:rFonts w:hint="eastAsia"/>
          <w:szCs w:val="21"/>
        </w:rPr>
        <w:t>（《中国药典》已收载）</w:t>
      </w:r>
    </w:p>
    <w:p w:rsidR="00AC7711" w:rsidRDefault="00DF6DB4">
      <w:pPr>
        <w:adjustRightInd w:val="0"/>
        <w:snapToGrid w:val="0"/>
        <w:spacing w:line="360" w:lineRule="auto"/>
        <w:ind w:firstLine="420"/>
        <w:rPr>
          <w:szCs w:val="21"/>
        </w:rPr>
      </w:pPr>
      <w:r>
        <w:rPr>
          <w:rFonts w:hint="eastAsia"/>
          <w:bCs/>
          <w:szCs w:val="21"/>
        </w:rPr>
        <w:t>通则</w:t>
      </w:r>
      <w:r>
        <w:rPr>
          <w:rFonts w:hint="eastAsia"/>
          <w:szCs w:val="21"/>
        </w:rPr>
        <w:t xml:space="preserve">4010 </w:t>
      </w:r>
      <w:r>
        <w:rPr>
          <w:szCs w:val="21"/>
        </w:rPr>
        <w:t>水蒸气透过量测定法</w:t>
      </w:r>
      <w:r>
        <w:rPr>
          <w:rFonts w:hint="eastAsia"/>
          <w:szCs w:val="21"/>
        </w:rPr>
        <w:t>（《中国药典》已收载）</w:t>
      </w:r>
    </w:p>
    <w:p w:rsidR="00AC7711" w:rsidRDefault="00DF6DB4">
      <w:pPr>
        <w:adjustRightInd w:val="0"/>
        <w:snapToGrid w:val="0"/>
        <w:spacing w:line="360" w:lineRule="auto"/>
        <w:ind w:firstLine="420"/>
        <w:rPr>
          <w:szCs w:val="21"/>
        </w:rPr>
      </w:pPr>
      <w:r>
        <w:rPr>
          <w:rFonts w:hint="eastAsia"/>
          <w:bCs/>
          <w:szCs w:val="21"/>
        </w:rPr>
        <w:t>通则</w:t>
      </w:r>
      <w:r>
        <w:rPr>
          <w:rFonts w:hint="eastAsia"/>
          <w:szCs w:val="21"/>
        </w:rPr>
        <w:t xml:space="preserve">4007 </w:t>
      </w:r>
      <w:r>
        <w:rPr>
          <w:szCs w:val="21"/>
        </w:rPr>
        <w:t>气体透过量测定法</w:t>
      </w:r>
      <w:r>
        <w:rPr>
          <w:rFonts w:hint="eastAsia"/>
          <w:szCs w:val="21"/>
        </w:rPr>
        <w:t>（《中国药典》已收载）</w:t>
      </w:r>
    </w:p>
    <w:p w:rsidR="00AC7711" w:rsidRDefault="00DF6DB4">
      <w:pPr>
        <w:adjustRightInd w:val="0"/>
        <w:snapToGrid w:val="0"/>
        <w:spacing w:line="360" w:lineRule="auto"/>
        <w:ind w:firstLine="420"/>
        <w:rPr>
          <w:bCs/>
          <w:szCs w:val="21"/>
        </w:rPr>
      </w:pPr>
      <w:r>
        <w:rPr>
          <w:szCs w:val="21"/>
        </w:rPr>
        <w:t>通则</w:t>
      </w:r>
      <w:r>
        <w:rPr>
          <w:szCs w:val="21"/>
        </w:rPr>
        <w:t>400</w:t>
      </w:r>
      <w:r>
        <w:rPr>
          <w:rFonts w:hint="eastAsia"/>
          <w:szCs w:val="21"/>
        </w:rPr>
        <w:t xml:space="preserve">4 </w:t>
      </w:r>
      <w:r>
        <w:rPr>
          <w:rFonts w:hint="eastAsia"/>
          <w:szCs w:val="21"/>
        </w:rPr>
        <w:t>剥离强度</w:t>
      </w:r>
      <w:r>
        <w:rPr>
          <w:szCs w:val="21"/>
        </w:rPr>
        <w:t>测定法</w:t>
      </w:r>
      <w:r>
        <w:rPr>
          <w:rFonts w:hint="eastAsia"/>
          <w:szCs w:val="21"/>
        </w:rPr>
        <w:t>（《中国药典》已收载）</w:t>
      </w:r>
    </w:p>
    <w:p w:rsidR="00AC7711" w:rsidRDefault="00DF6DB4">
      <w:pPr>
        <w:adjustRightInd w:val="0"/>
        <w:snapToGrid w:val="0"/>
        <w:spacing w:line="360" w:lineRule="auto"/>
        <w:ind w:firstLine="420"/>
        <w:rPr>
          <w:szCs w:val="21"/>
        </w:rPr>
      </w:pPr>
      <w:r>
        <w:rPr>
          <w:szCs w:val="21"/>
        </w:rPr>
        <w:t>通则</w:t>
      </w:r>
      <w:r>
        <w:rPr>
          <w:szCs w:val="21"/>
        </w:rPr>
        <w:t>400</w:t>
      </w:r>
      <w:r>
        <w:rPr>
          <w:rFonts w:hint="eastAsia"/>
          <w:szCs w:val="21"/>
        </w:rPr>
        <w:t xml:space="preserve">8 </w:t>
      </w:r>
      <w:r>
        <w:rPr>
          <w:rFonts w:hint="eastAsia"/>
          <w:szCs w:val="21"/>
        </w:rPr>
        <w:t>热合强度</w:t>
      </w:r>
      <w:r>
        <w:rPr>
          <w:szCs w:val="21"/>
        </w:rPr>
        <w:t>测定法</w:t>
      </w:r>
      <w:r>
        <w:rPr>
          <w:rFonts w:hint="eastAsia"/>
          <w:szCs w:val="21"/>
        </w:rPr>
        <w:t>（《中国药典》已收载）</w:t>
      </w:r>
    </w:p>
    <w:p w:rsidR="00AC7711" w:rsidRDefault="00DF6DB4">
      <w:pPr>
        <w:adjustRightInd w:val="0"/>
        <w:snapToGrid w:val="0"/>
        <w:spacing w:line="360" w:lineRule="auto"/>
        <w:ind w:firstLine="420"/>
        <w:rPr>
          <w:szCs w:val="21"/>
        </w:rPr>
      </w:pPr>
      <w:r>
        <w:rPr>
          <w:szCs w:val="21"/>
        </w:rPr>
        <w:t>通则</w:t>
      </w:r>
      <w:r>
        <w:rPr>
          <w:rFonts w:hint="eastAsia"/>
          <w:szCs w:val="21"/>
        </w:rPr>
        <w:t>4204</w:t>
      </w:r>
      <w:r>
        <w:rPr>
          <w:rFonts w:hint="eastAsia"/>
          <w:szCs w:val="21"/>
        </w:rPr>
        <w:t>药包材溶出物测定法（已公示）</w:t>
      </w:r>
    </w:p>
    <w:p w:rsidR="00AC7711" w:rsidRDefault="00DF6DB4">
      <w:pPr>
        <w:adjustRightInd w:val="0"/>
        <w:snapToGrid w:val="0"/>
        <w:spacing w:line="360" w:lineRule="auto"/>
        <w:ind w:firstLine="420"/>
        <w:rPr>
          <w:szCs w:val="21"/>
        </w:rPr>
      </w:pPr>
      <w:r>
        <w:rPr>
          <w:szCs w:val="21"/>
        </w:rPr>
        <w:t>通则</w:t>
      </w:r>
      <w:r>
        <w:rPr>
          <w:rFonts w:hint="eastAsia"/>
          <w:szCs w:val="21"/>
        </w:rPr>
        <w:t>4207</w:t>
      </w:r>
      <w:r>
        <w:rPr>
          <w:rFonts w:hint="eastAsia"/>
          <w:szCs w:val="21"/>
        </w:rPr>
        <w:t>药包材溶剂残留量测定</w:t>
      </w:r>
      <w:r>
        <w:rPr>
          <w:szCs w:val="21"/>
        </w:rPr>
        <w:t>法</w:t>
      </w:r>
      <w:r>
        <w:rPr>
          <w:rFonts w:hint="eastAsia"/>
          <w:szCs w:val="21"/>
        </w:rPr>
        <w:t>（已上网征求意见）</w:t>
      </w:r>
    </w:p>
    <w:p w:rsidR="00AC7711" w:rsidRDefault="00DF6DB4">
      <w:pPr>
        <w:widowControl/>
        <w:adjustRightInd w:val="0"/>
        <w:snapToGrid w:val="0"/>
        <w:spacing w:line="360" w:lineRule="auto"/>
        <w:ind w:firstLine="420"/>
        <w:rPr>
          <w:szCs w:val="21"/>
        </w:rPr>
      </w:pPr>
      <w:r>
        <w:rPr>
          <w:rFonts w:ascii="宋体" w:hAnsi="宋体" w:cs="宋体" w:hint="eastAsia"/>
          <w:kern w:val="0"/>
          <w:szCs w:val="21"/>
        </w:rPr>
        <w:t>指导原则</w:t>
      </w:r>
      <w:r>
        <w:rPr>
          <w:kern w:val="0"/>
          <w:szCs w:val="21"/>
        </w:rPr>
        <w:t xml:space="preserve">9652 </w:t>
      </w:r>
      <w:r>
        <w:rPr>
          <w:rFonts w:ascii="宋体" w:hAnsi="宋体" w:cs="宋体" w:hint="eastAsia"/>
          <w:kern w:val="0"/>
          <w:szCs w:val="21"/>
        </w:rPr>
        <w:t>药包材检验规则指导原则</w:t>
      </w:r>
      <w:r>
        <w:rPr>
          <w:rFonts w:hint="eastAsia"/>
          <w:szCs w:val="21"/>
        </w:rPr>
        <w:t>（已</w:t>
      </w:r>
      <w:r>
        <w:rPr>
          <w:rFonts w:hint="eastAsia"/>
          <w:color w:val="000000" w:themeColor="text1"/>
          <w:szCs w:val="21"/>
        </w:rPr>
        <w:t>上网</w:t>
      </w:r>
      <w:r>
        <w:rPr>
          <w:rFonts w:hint="eastAsia"/>
          <w:szCs w:val="21"/>
        </w:rPr>
        <w:t>征求意见）</w:t>
      </w:r>
    </w:p>
    <w:p w:rsidR="00AC7711" w:rsidRDefault="00DF6DB4">
      <w:pPr>
        <w:widowControl/>
        <w:adjustRightInd w:val="0"/>
        <w:snapToGrid w:val="0"/>
        <w:spacing w:line="360" w:lineRule="auto"/>
        <w:ind w:firstLine="420"/>
        <w:rPr>
          <w:rFonts w:ascii="宋体" w:hAnsi="宋体" w:cs="宋体"/>
          <w:szCs w:val="21"/>
        </w:rPr>
      </w:pPr>
      <w:r>
        <w:rPr>
          <w:rFonts w:ascii="宋体" w:hAnsi="宋体" w:cs="宋体"/>
          <w:szCs w:val="21"/>
        </w:rPr>
        <w:t>指导原则</w:t>
      </w:r>
      <w:r>
        <w:rPr>
          <w:szCs w:val="21"/>
        </w:rPr>
        <w:t>9653</w:t>
      </w:r>
      <w:r>
        <w:rPr>
          <w:rFonts w:ascii="宋体" w:hAnsi="宋体" w:cs="宋体"/>
          <w:szCs w:val="21"/>
        </w:rPr>
        <w:t>药包材微生物检测指导原则（</w:t>
      </w:r>
      <w:r>
        <w:rPr>
          <w:rFonts w:hint="eastAsia"/>
          <w:szCs w:val="21"/>
        </w:rPr>
        <w:t>已上网征求意见</w:t>
      </w:r>
      <w:r>
        <w:rPr>
          <w:rFonts w:ascii="宋体" w:hAnsi="宋体" w:cs="宋体"/>
          <w:szCs w:val="21"/>
        </w:rPr>
        <w:t>）</w:t>
      </w:r>
    </w:p>
    <w:p w:rsidR="00AC7711" w:rsidRDefault="00DF6DB4">
      <w:pPr>
        <w:adjustRightInd w:val="0"/>
        <w:snapToGrid w:val="0"/>
        <w:spacing w:line="360" w:lineRule="auto"/>
        <w:rPr>
          <w:b/>
          <w:szCs w:val="21"/>
        </w:rPr>
      </w:pPr>
      <w:r>
        <w:rPr>
          <w:rFonts w:hint="eastAsia"/>
          <w:b/>
          <w:szCs w:val="21"/>
        </w:rPr>
        <w:t>3</w:t>
      </w:r>
      <w:r>
        <w:rPr>
          <w:b/>
          <w:szCs w:val="21"/>
        </w:rPr>
        <w:t>要求</w:t>
      </w:r>
    </w:p>
    <w:p w:rsidR="00AC7711" w:rsidRDefault="00DF6DB4">
      <w:pPr>
        <w:widowControl/>
        <w:adjustRightInd w:val="0"/>
        <w:snapToGrid w:val="0"/>
        <w:spacing w:line="360" w:lineRule="auto"/>
        <w:ind w:firstLineChars="200" w:firstLine="420"/>
        <w:rPr>
          <w:szCs w:val="21"/>
        </w:rPr>
      </w:pPr>
      <w:r>
        <w:rPr>
          <w:rFonts w:ascii="宋体" w:hAnsi="宋体" w:hint="eastAsia"/>
          <w:szCs w:val="21"/>
        </w:rPr>
        <w:t>口服固体药用复合膜及袋的材料及结构组成多种多样（见附注1.附表A），复合膜的材料及结构会影响药品制剂的安全性和保护功能，应结合使用需求对复合膜材料、结构进行选择和评价。其设计</w:t>
      </w:r>
      <w:r>
        <w:rPr>
          <w:rFonts w:hAnsi="宋体"/>
          <w:szCs w:val="21"/>
        </w:rPr>
        <w:t>需考虑配方和工艺</w:t>
      </w:r>
      <w:r>
        <w:rPr>
          <w:rFonts w:hAnsi="宋体" w:hint="eastAsia"/>
          <w:szCs w:val="21"/>
        </w:rPr>
        <w:t>对包装内容物的可能影响。</w:t>
      </w:r>
    </w:p>
    <w:p w:rsidR="00AC7711" w:rsidRDefault="00DF6DB4">
      <w:pPr>
        <w:widowControl/>
        <w:adjustRightInd w:val="0"/>
        <w:snapToGrid w:val="0"/>
        <w:spacing w:line="360" w:lineRule="auto"/>
        <w:ind w:firstLineChars="200" w:firstLine="420"/>
        <w:rPr>
          <w:rFonts w:ascii="宋体" w:hAnsi="宋体"/>
          <w:szCs w:val="21"/>
        </w:rPr>
      </w:pPr>
      <w:r w:rsidRPr="00E1197C">
        <w:rPr>
          <w:rFonts w:ascii="宋体" w:hAnsi="宋体" w:hint="eastAsia"/>
          <w:szCs w:val="21"/>
        </w:rPr>
        <w:t>口服固体药用复合膜及袋</w:t>
      </w:r>
      <w:bookmarkStart w:id="1" w:name="_Hlk119675724"/>
      <w:r w:rsidR="00A81C71" w:rsidRPr="00E1197C">
        <w:rPr>
          <w:rFonts w:ascii="宋体" w:hAnsi="宋体" w:hint="eastAsia"/>
          <w:szCs w:val="21"/>
        </w:rPr>
        <w:t>的生产要求、使用要求、</w:t>
      </w:r>
      <w:r w:rsidRPr="00E1197C">
        <w:rPr>
          <w:rFonts w:ascii="宋体" w:hAnsi="宋体" w:hint="eastAsia"/>
          <w:szCs w:val="21"/>
        </w:rPr>
        <w:t>鉴别及溶出物试验应符合药品包装用塑料容器及组件通则（通则</w:t>
      </w:r>
      <w:r w:rsidRPr="00E1197C">
        <w:rPr>
          <w:rFonts w:ascii="宋体" w:hAnsi="宋体"/>
          <w:szCs w:val="21"/>
        </w:rPr>
        <w:t>5300）的规定</w:t>
      </w:r>
      <w:bookmarkEnd w:id="1"/>
      <w:r w:rsidRPr="00E1197C">
        <w:rPr>
          <w:rFonts w:ascii="宋体" w:hAnsi="宋体"/>
          <w:szCs w:val="21"/>
        </w:rPr>
        <w:t>；</w:t>
      </w:r>
      <w:r>
        <w:rPr>
          <w:rFonts w:ascii="宋体" w:hAnsi="宋体" w:hint="eastAsia"/>
          <w:szCs w:val="21"/>
        </w:rPr>
        <w:t>外观、微生物限度，可根据生产方和使用方对产品质量的要求以及风险评估结果进行控制，应符合企业标准或质量协议规定；</w:t>
      </w:r>
      <w:bookmarkStart w:id="2" w:name="_Hlk119675800"/>
      <w:r>
        <w:rPr>
          <w:rFonts w:ascii="宋体" w:hAnsi="宋体" w:hint="eastAsia"/>
          <w:szCs w:val="21"/>
        </w:rPr>
        <w:t>必要时，可根据生产方和使用方对产品质量的要求对所用粘合剂种类及残留量风险评估结果进行控制，应符合企业标准或质量协议的要求；复合膜/袋的使用性能等项目照药包材检验规则指导原则（指导原则9652）相关要求拟定检验规则</w:t>
      </w:r>
      <w:bookmarkEnd w:id="2"/>
      <w:r>
        <w:rPr>
          <w:rFonts w:ascii="宋体" w:hAnsi="宋体" w:hint="eastAsia"/>
          <w:szCs w:val="21"/>
        </w:rPr>
        <w:t>，应符合下列要求。</w:t>
      </w:r>
    </w:p>
    <w:p w:rsidR="00AC7711" w:rsidRDefault="00DF6DB4">
      <w:pPr>
        <w:adjustRightInd w:val="0"/>
        <w:snapToGrid w:val="0"/>
        <w:spacing w:line="360" w:lineRule="auto"/>
        <w:rPr>
          <w:b/>
          <w:szCs w:val="21"/>
        </w:rPr>
      </w:pPr>
      <w:r>
        <w:rPr>
          <w:rFonts w:hint="eastAsia"/>
          <w:b/>
          <w:bCs/>
          <w:szCs w:val="21"/>
        </w:rPr>
        <w:t>3</w:t>
      </w:r>
      <w:r>
        <w:rPr>
          <w:b/>
          <w:bCs/>
          <w:szCs w:val="21"/>
        </w:rPr>
        <w:t>.</w:t>
      </w:r>
      <w:r>
        <w:rPr>
          <w:rFonts w:hint="eastAsia"/>
          <w:b/>
          <w:bCs/>
          <w:szCs w:val="21"/>
        </w:rPr>
        <w:t>1</w:t>
      </w:r>
      <w:r>
        <w:rPr>
          <w:rFonts w:hint="eastAsia"/>
          <w:b/>
          <w:szCs w:val="21"/>
        </w:rPr>
        <w:t>阻隔性能</w:t>
      </w:r>
    </w:p>
    <w:p w:rsidR="00AC7711" w:rsidRDefault="00DF6DB4">
      <w:pPr>
        <w:adjustRightInd w:val="0"/>
        <w:snapToGrid w:val="0"/>
        <w:spacing w:line="360" w:lineRule="auto"/>
        <w:ind w:firstLineChars="200" w:firstLine="420"/>
        <w:rPr>
          <w:b/>
          <w:szCs w:val="21"/>
        </w:rPr>
      </w:pPr>
      <w:r>
        <w:rPr>
          <w:rFonts w:ascii="宋体" w:hAnsi="宋体" w:hint="eastAsia"/>
          <w:szCs w:val="21"/>
        </w:rPr>
        <w:lastRenderedPageBreak/>
        <w:t>阻隔性能是评价复合膜保证药品质量关键指标之一，首次使用应按照《</w:t>
      </w:r>
      <w:r>
        <w:rPr>
          <w:rFonts w:hint="eastAsia"/>
          <w:szCs w:val="21"/>
        </w:rPr>
        <w:t>附表</w:t>
      </w:r>
      <w:r>
        <w:rPr>
          <w:szCs w:val="21"/>
        </w:rPr>
        <w:t xml:space="preserve">A </w:t>
      </w:r>
      <w:r>
        <w:rPr>
          <w:rFonts w:hint="eastAsia"/>
          <w:szCs w:val="21"/>
        </w:rPr>
        <w:t>药用</w:t>
      </w:r>
      <w:r>
        <w:rPr>
          <w:rFonts w:cs="宋体" w:hint="eastAsia"/>
          <w:szCs w:val="21"/>
        </w:rPr>
        <w:t>复合膜按材质结构分类</w:t>
      </w:r>
      <w:r>
        <w:rPr>
          <w:rFonts w:ascii="宋体" w:hAnsi="宋体" w:hint="eastAsia"/>
          <w:szCs w:val="21"/>
        </w:rPr>
        <w:t>》明确</w:t>
      </w:r>
      <w:r>
        <w:rPr>
          <w:rFonts w:cs="宋体" w:hint="eastAsia"/>
          <w:szCs w:val="21"/>
        </w:rPr>
        <w:t>材质结构组成，</w:t>
      </w:r>
      <w:r>
        <w:rPr>
          <w:rFonts w:hint="eastAsia"/>
          <w:szCs w:val="21"/>
        </w:rPr>
        <w:t>除企业标准或质量协议另有规定外，相关项目选择的方法和指标应符合要求。使用方应根据制剂的特点如氧气敏感等，宜按包装件的形式</w:t>
      </w:r>
      <w:bookmarkStart w:id="3" w:name="_Hlk119676841"/>
      <w:r>
        <w:rPr>
          <w:rFonts w:hint="eastAsia"/>
          <w:szCs w:val="21"/>
        </w:rPr>
        <w:t>对复合袋的阻隔性能风险进行充分的评估，必要时进行验证和控制。</w:t>
      </w:r>
      <w:bookmarkEnd w:id="3"/>
    </w:p>
    <w:p w:rsidR="00AC7711" w:rsidRDefault="00DF6DB4">
      <w:pPr>
        <w:adjustRightInd w:val="0"/>
        <w:snapToGrid w:val="0"/>
        <w:spacing w:line="360" w:lineRule="auto"/>
        <w:rPr>
          <w:b/>
          <w:szCs w:val="21"/>
        </w:rPr>
      </w:pPr>
      <w:r>
        <w:rPr>
          <w:rFonts w:hint="eastAsia"/>
          <w:b/>
          <w:szCs w:val="21"/>
        </w:rPr>
        <w:t>3.1</w:t>
      </w:r>
      <w:r>
        <w:rPr>
          <w:b/>
          <w:szCs w:val="21"/>
        </w:rPr>
        <w:t>.</w:t>
      </w:r>
      <w:r>
        <w:rPr>
          <w:rFonts w:hint="eastAsia"/>
          <w:b/>
          <w:szCs w:val="21"/>
        </w:rPr>
        <w:t>1</w:t>
      </w:r>
      <w:r>
        <w:rPr>
          <w:rFonts w:hint="eastAsia"/>
          <w:b/>
          <w:szCs w:val="21"/>
        </w:rPr>
        <w:t>氧气透过量</w:t>
      </w:r>
    </w:p>
    <w:p w:rsidR="00AC7711" w:rsidRDefault="00DF6DB4">
      <w:pPr>
        <w:adjustRightInd w:val="0"/>
        <w:snapToGrid w:val="0"/>
        <w:spacing w:line="360" w:lineRule="auto"/>
        <w:ind w:firstLineChars="200" w:firstLine="420"/>
        <w:rPr>
          <w:bCs/>
          <w:szCs w:val="21"/>
        </w:rPr>
      </w:pPr>
      <w:r>
        <w:rPr>
          <w:szCs w:val="21"/>
        </w:rPr>
        <w:t>照</w:t>
      </w:r>
      <w:r>
        <w:rPr>
          <w:kern w:val="0"/>
          <w:szCs w:val="21"/>
          <w:lang w:val="zh-CN"/>
        </w:rPr>
        <w:t>气体透过量测定法（</w:t>
      </w:r>
      <w:r>
        <w:rPr>
          <w:rFonts w:hint="eastAsia"/>
          <w:kern w:val="0"/>
          <w:szCs w:val="21"/>
          <w:lang w:val="zh-CN"/>
        </w:rPr>
        <w:t>通则</w:t>
      </w:r>
      <w:r>
        <w:rPr>
          <w:kern w:val="0"/>
          <w:szCs w:val="21"/>
          <w:lang w:val="zh-CN"/>
        </w:rPr>
        <w:t>4007</w:t>
      </w:r>
      <w:r>
        <w:rPr>
          <w:kern w:val="0"/>
          <w:szCs w:val="21"/>
          <w:lang w:val="zh-CN"/>
        </w:rPr>
        <w:t>）</w:t>
      </w:r>
      <w:r>
        <w:rPr>
          <w:szCs w:val="21"/>
        </w:rPr>
        <w:t>第一法或第二法测定，</w:t>
      </w:r>
      <w:r>
        <w:rPr>
          <w:bCs/>
          <w:szCs w:val="21"/>
        </w:rPr>
        <w:t>试验时热</w:t>
      </w:r>
      <w:r>
        <w:rPr>
          <w:rFonts w:hint="eastAsia"/>
          <w:bCs/>
          <w:szCs w:val="21"/>
        </w:rPr>
        <w:t>合</w:t>
      </w:r>
      <w:r>
        <w:rPr>
          <w:bCs/>
          <w:szCs w:val="21"/>
        </w:rPr>
        <w:t>面向氧气低压侧，应符合</w:t>
      </w:r>
      <w:r>
        <w:rPr>
          <w:kern w:val="0"/>
          <w:szCs w:val="21"/>
        </w:rPr>
        <w:t>表</w:t>
      </w:r>
      <w:r>
        <w:rPr>
          <w:rFonts w:hint="eastAsia"/>
          <w:kern w:val="0"/>
          <w:szCs w:val="21"/>
        </w:rPr>
        <w:t>1</w:t>
      </w:r>
      <w:r>
        <w:rPr>
          <w:rFonts w:hint="eastAsia"/>
          <w:kern w:val="0"/>
          <w:szCs w:val="21"/>
        </w:rPr>
        <w:t>中相应级别的</w:t>
      </w:r>
      <w:r>
        <w:rPr>
          <w:bCs/>
          <w:szCs w:val="21"/>
        </w:rPr>
        <w:t>规定。</w:t>
      </w:r>
    </w:p>
    <w:p w:rsidR="00AC7711" w:rsidRDefault="00DF6DB4">
      <w:pPr>
        <w:adjustRightInd w:val="0"/>
        <w:snapToGrid w:val="0"/>
        <w:spacing w:line="360" w:lineRule="auto"/>
        <w:jc w:val="center"/>
        <w:rPr>
          <w:szCs w:val="21"/>
        </w:rPr>
      </w:pPr>
      <w:r>
        <w:rPr>
          <w:rFonts w:hint="eastAsia"/>
          <w:szCs w:val="21"/>
        </w:rPr>
        <w:t>表</w:t>
      </w:r>
      <w:r>
        <w:rPr>
          <w:rFonts w:hint="eastAsia"/>
          <w:szCs w:val="21"/>
        </w:rPr>
        <w:t xml:space="preserve">1 </w:t>
      </w:r>
      <w:r>
        <w:rPr>
          <w:rFonts w:hint="eastAsia"/>
          <w:szCs w:val="21"/>
        </w:rPr>
        <w:t>氧气透过量分级及性能指标</w:t>
      </w:r>
    </w:p>
    <w:tbl>
      <w:tblPr>
        <w:tblW w:w="31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3496"/>
      </w:tblGrid>
      <w:tr w:rsidR="00AC7711">
        <w:trPr>
          <w:trHeight w:val="423"/>
          <w:jc w:val="center"/>
        </w:trPr>
        <w:tc>
          <w:tcPr>
            <w:tcW w:w="1783" w:type="pct"/>
            <w:tcBorders>
              <w:top w:val="single" w:sz="4" w:space="0" w:color="auto"/>
              <w:left w:val="nil"/>
              <w:bottom w:val="single" w:sz="4" w:space="0" w:color="auto"/>
              <w:right w:val="single" w:sz="4" w:space="0" w:color="auto"/>
            </w:tcBorders>
            <w:vAlign w:val="center"/>
          </w:tcPr>
          <w:p w:rsidR="00AC7711" w:rsidRDefault="00DF6DB4">
            <w:pPr>
              <w:adjustRightInd w:val="0"/>
              <w:snapToGrid w:val="0"/>
              <w:spacing w:line="360" w:lineRule="auto"/>
              <w:jc w:val="center"/>
              <w:rPr>
                <w:szCs w:val="21"/>
              </w:rPr>
            </w:pPr>
            <w:r>
              <w:rPr>
                <w:rFonts w:hint="eastAsia"/>
                <w:szCs w:val="21"/>
              </w:rPr>
              <w:t>分级</w:t>
            </w:r>
          </w:p>
        </w:tc>
        <w:tc>
          <w:tcPr>
            <w:tcW w:w="3217" w:type="pct"/>
            <w:tcBorders>
              <w:top w:val="single" w:sz="4" w:space="0" w:color="auto"/>
              <w:left w:val="single" w:sz="4" w:space="0" w:color="auto"/>
              <w:bottom w:val="single" w:sz="4" w:space="0" w:color="auto"/>
              <w:right w:val="nil"/>
            </w:tcBorders>
            <w:vAlign w:val="center"/>
          </w:tcPr>
          <w:p w:rsidR="00AC7711" w:rsidRDefault="00DF6DB4">
            <w:pPr>
              <w:adjustRightInd w:val="0"/>
              <w:snapToGrid w:val="0"/>
              <w:spacing w:line="360" w:lineRule="auto"/>
              <w:jc w:val="center"/>
              <w:rPr>
                <w:szCs w:val="21"/>
              </w:rPr>
            </w:pPr>
            <w:r>
              <w:rPr>
                <w:rFonts w:hint="eastAsia"/>
                <w:szCs w:val="21"/>
              </w:rPr>
              <w:t>氧气透过量</w:t>
            </w:r>
            <w:r>
              <w:rPr>
                <w:rFonts w:hint="eastAsia"/>
                <w:szCs w:val="21"/>
              </w:rPr>
              <w:t>[</w:t>
            </w:r>
            <w:r>
              <w:rPr>
                <w:szCs w:val="21"/>
              </w:rPr>
              <w:t>cm</w:t>
            </w:r>
            <w:r>
              <w:rPr>
                <w:szCs w:val="21"/>
                <w:vertAlign w:val="superscript"/>
              </w:rPr>
              <w:t>3</w:t>
            </w:r>
            <w:r>
              <w:rPr>
                <w:szCs w:val="21"/>
              </w:rPr>
              <w:t>/</w:t>
            </w:r>
            <w:r>
              <w:rPr>
                <w:szCs w:val="21"/>
              </w:rPr>
              <w:t>（</w:t>
            </w:r>
            <w:r>
              <w:rPr>
                <w:szCs w:val="21"/>
              </w:rPr>
              <w:t>m</w:t>
            </w:r>
            <w:r>
              <w:rPr>
                <w:szCs w:val="21"/>
                <w:vertAlign w:val="superscript"/>
              </w:rPr>
              <w:t>2</w:t>
            </w:r>
            <w:r>
              <w:rPr>
                <w:szCs w:val="21"/>
              </w:rPr>
              <w:t>·24h·0.1MPa</w:t>
            </w:r>
            <w:r>
              <w:rPr>
                <w:szCs w:val="21"/>
              </w:rPr>
              <w:t>）</w:t>
            </w:r>
            <w:r>
              <w:rPr>
                <w:rFonts w:hint="eastAsia"/>
                <w:szCs w:val="21"/>
              </w:rPr>
              <w:t>]</w:t>
            </w:r>
          </w:p>
        </w:tc>
      </w:tr>
      <w:tr w:rsidR="00AC7711">
        <w:trPr>
          <w:trHeight w:val="90"/>
          <w:jc w:val="center"/>
        </w:trPr>
        <w:tc>
          <w:tcPr>
            <w:tcW w:w="1783" w:type="pct"/>
            <w:tcBorders>
              <w:top w:val="single" w:sz="4" w:space="0" w:color="auto"/>
              <w:left w:val="nil"/>
              <w:bottom w:val="single" w:sz="4" w:space="0" w:color="auto"/>
              <w:right w:val="single" w:sz="4" w:space="0" w:color="auto"/>
            </w:tcBorders>
            <w:vAlign w:val="center"/>
          </w:tcPr>
          <w:p w:rsidR="00AC7711" w:rsidRDefault="00DF6DB4">
            <w:pPr>
              <w:adjustRightInd w:val="0"/>
              <w:snapToGrid w:val="0"/>
              <w:spacing w:line="360" w:lineRule="auto"/>
              <w:jc w:val="center"/>
              <w:rPr>
                <w:szCs w:val="21"/>
              </w:rPr>
            </w:pPr>
            <w:r>
              <w:rPr>
                <w:rFonts w:hint="eastAsia"/>
                <w:szCs w:val="21"/>
              </w:rPr>
              <w:t>高阻氧</w:t>
            </w:r>
          </w:p>
        </w:tc>
        <w:tc>
          <w:tcPr>
            <w:tcW w:w="3217" w:type="pct"/>
            <w:tcBorders>
              <w:top w:val="single" w:sz="4" w:space="0" w:color="auto"/>
              <w:left w:val="single" w:sz="4" w:space="0" w:color="auto"/>
              <w:bottom w:val="single" w:sz="4" w:space="0" w:color="auto"/>
              <w:right w:val="nil"/>
            </w:tcBorders>
            <w:vAlign w:val="center"/>
          </w:tcPr>
          <w:p w:rsidR="00AC7711" w:rsidRDefault="00DF6DB4">
            <w:pPr>
              <w:adjustRightInd w:val="0"/>
              <w:snapToGrid w:val="0"/>
              <w:spacing w:line="360" w:lineRule="auto"/>
              <w:jc w:val="center"/>
              <w:rPr>
                <w:szCs w:val="21"/>
              </w:rPr>
            </w:pPr>
            <w:r>
              <w:rPr>
                <w:rFonts w:hint="eastAsia"/>
                <w:szCs w:val="21"/>
              </w:rPr>
              <w:t>≤</w:t>
            </w:r>
            <w:r>
              <w:rPr>
                <w:rFonts w:hint="eastAsia"/>
                <w:szCs w:val="21"/>
              </w:rPr>
              <w:t>0.5</w:t>
            </w:r>
          </w:p>
        </w:tc>
      </w:tr>
      <w:tr w:rsidR="00AC7711">
        <w:trPr>
          <w:trHeight w:val="346"/>
          <w:jc w:val="center"/>
        </w:trPr>
        <w:tc>
          <w:tcPr>
            <w:tcW w:w="1783" w:type="pct"/>
            <w:tcBorders>
              <w:top w:val="single" w:sz="4" w:space="0" w:color="auto"/>
              <w:left w:val="nil"/>
              <w:bottom w:val="single" w:sz="4" w:space="0" w:color="auto"/>
              <w:right w:val="single" w:sz="4" w:space="0" w:color="auto"/>
            </w:tcBorders>
            <w:vAlign w:val="center"/>
          </w:tcPr>
          <w:p w:rsidR="00AC7711" w:rsidRDefault="00DF6DB4">
            <w:pPr>
              <w:adjustRightInd w:val="0"/>
              <w:snapToGrid w:val="0"/>
              <w:spacing w:line="360" w:lineRule="auto"/>
              <w:jc w:val="center"/>
              <w:rPr>
                <w:szCs w:val="21"/>
              </w:rPr>
            </w:pPr>
            <w:r>
              <w:rPr>
                <w:rFonts w:hint="eastAsia"/>
                <w:szCs w:val="21"/>
              </w:rPr>
              <w:t>中阻氧</w:t>
            </w:r>
          </w:p>
        </w:tc>
        <w:tc>
          <w:tcPr>
            <w:tcW w:w="3217" w:type="pct"/>
            <w:tcBorders>
              <w:top w:val="single" w:sz="4" w:space="0" w:color="auto"/>
              <w:left w:val="single" w:sz="4" w:space="0" w:color="auto"/>
              <w:bottom w:val="single" w:sz="4" w:space="0" w:color="auto"/>
              <w:right w:val="nil"/>
            </w:tcBorders>
            <w:vAlign w:val="center"/>
          </w:tcPr>
          <w:p w:rsidR="00AC7711" w:rsidRDefault="00DF6DB4">
            <w:pPr>
              <w:adjustRightInd w:val="0"/>
              <w:snapToGrid w:val="0"/>
              <w:spacing w:line="360" w:lineRule="auto"/>
              <w:jc w:val="center"/>
              <w:rPr>
                <w:szCs w:val="21"/>
              </w:rPr>
            </w:pPr>
            <w:r>
              <w:rPr>
                <w:rFonts w:hint="eastAsia"/>
                <w:szCs w:val="21"/>
              </w:rPr>
              <w:t>≤</w:t>
            </w:r>
            <w:r>
              <w:rPr>
                <w:rFonts w:hint="eastAsia"/>
                <w:szCs w:val="21"/>
              </w:rPr>
              <w:t>10.0</w:t>
            </w:r>
          </w:p>
        </w:tc>
      </w:tr>
      <w:tr w:rsidR="00AC7711">
        <w:trPr>
          <w:trHeight w:val="384"/>
          <w:jc w:val="center"/>
        </w:trPr>
        <w:tc>
          <w:tcPr>
            <w:tcW w:w="1783" w:type="pct"/>
            <w:tcBorders>
              <w:top w:val="single" w:sz="4" w:space="0" w:color="auto"/>
              <w:left w:val="nil"/>
              <w:bottom w:val="single" w:sz="4" w:space="0" w:color="auto"/>
              <w:right w:val="single" w:sz="4" w:space="0" w:color="auto"/>
            </w:tcBorders>
            <w:vAlign w:val="center"/>
          </w:tcPr>
          <w:p w:rsidR="00AC7711" w:rsidRDefault="00DF6DB4">
            <w:pPr>
              <w:adjustRightInd w:val="0"/>
              <w:snapToGrid w:val="0"/>
              <w:spacing w:line="360" w:lineRule="auto"/>
              <w:jc w:val="center"/>
              <w:rPr>
                <w:szCs w:val="21"/>
              </w:rPr>
            </w:pPr>
            <w:r>
              <w:rPr>
                <w:rFonts w:hint="eastAsia"/>
                <w:szCs w:val="21"/>
              </w:rPr>
              <w:t>低阻氧</w:t>
            </w:r>
          </w:p>
        </w:tc>
        <w:tc>
          <w:tcPr>
            <w:tcW w:w="3217" w:type="pct"/>
            <w:tcBorders>
              <w:top w:val="single" w:sz="4" w:space="0" w:color="auto"/>
              <w:left w:val="single" w:sz="4" w:space="0" w:color="auto"/>
              <w:bottom w:val="single" w:sz="4" w:space="0" w:color="auto"/>
              <w:right w:val="nil"/>
            </w:tcBorders>
            <w:vAlign w:val="center"/>
          </w:tcPr>
          <w:p w:rsidR="00AC7711" w:rsidRDefault="00DF6DB4">
            <w:pPr>
              <w:adjustRightInd w:val="0"/>
              <w:snapToGrid w:val="0"/>
              <w:spacing w:line="360" w:lineRule="auto"/>
              <w:jc w:val="center"/>
              <w:rPr>
                <w:szCs w:val="21"/>
              </w:rPr>
            </w:pPr>
            <w:r>
              <w:rPr>
                <w:rFonts w:hint="eastAsia"/>
                <w:szCs w:val="21"/>
              </w:rPr>
              <w:t>≤</w:t>
            </w:r>
            <w:r>
              <w:rPr>
                <w:rFonts w:hint="eastAsia"/>
                <w:szCs w:val="21"/>
              </w:rPr>
              <w:t>1500</w:t>
            </w:r>
          </w:p>
        </w:tc>
      </w:tr>
    </w:tbl>
    <w:p w:rsidR="00AC7711" w:rsidRDefault="00DF6DB4">
      <w:pPr>
        <w:adjustRightInd w:val="0"/>
        <w:snapToGrid w:val="0"/>
        <w:spacing w:line="360" w:lineRule="auto"/>
        <w:rPr>
          <w:b/>
          <w:szCs w:val="21"/>
        </w:rPr>
      </w:pPr>
      <w:r>
        <w:rPr>
          <w:rFonts w:hint="eastAsia"/>
          <w:b/>
          <w:szCs w:val="21"/>
        </w:rPr>
        <w:t>3.1</w:t>
      </w:r>
      <w:r>
        <w:rPr>
          <w:b/>
          <w:szCs w:val="21"/>
        </w:rPr>
        <w:t>.</w:t>
      </w:r>
      <w:r>
        <w:rPr>
          <w:rFonts w:hint="eastAsia"/>
          <w:b/>
          <w:szCs w:val="21"/>
        </w:rPr>
        <w:t>2</w:t>
      </w:r>
      <w:r>
        <w:rPr>
          <w:rFonts w:hint="eastAsia"/>
          <w:b/>
          <w:szCs w:val="21"/>
        </w:rPr>
        <w:t>水蒸气透过量</w:t>
      </w:r>
    </w:p>
    <w:p w:rsidR="00AC7711" w:rsidRDefault="00DF6DB4">
      <w:pPr>
        <w:adjustRightInd w:val="0"/>
        <w:snapToGrid w:val="0"/>
        <w:spacing w:line="360" w:lineRule="auto"/>
        <w:ind w:firstLineChars="200" w:firstLine="420"/>
        <w:rPr>
          <w:bCs/>
          <w:szCs w:val="21"/>
        </w:rPr>
      </w:pPr>
      <w:r>
        <w:rPr>
          <w:szCs w:val="21"/>
        </w:rPr>
        <w:t>照</w:t>
      </w:r>
      <w:r>
        <w:rPr>
          <w:kern w:val="0"/>
          <w:szCs w:val="21"/>
          <w:lang w:val="zh-CN"/>
        </w:rPr>
        <w:t>水蒸气透过量测定法（通则</w:t>
      </w:r>
      <w:r>
        <w:rPr>
          <w:kern w:val="0"/>
          <w:szCs w:val="21"/>
          <w:lang w:val="zh-CN"/>
        </w:rPr>
        <w:t>4010</w:t>
      </w:r>
      <w:r>
        <w:rPr>
          <w:kern w:val="0"/>
          <w:szCs w:val="21"/>
          <w:lang w:val="zh-CN"/>
        </w:rPr>
        <w:t>）</w:t>
      </w:r>
      <w:r>
        <w:rPr>
          <w:szCs w:val="21"/>
        </w:rPr>
        <w:t>第一法</w:t>
      </w:r>
      <w:r>
        <w:rPr>
          <w:rFonts w:hint="eastAsia"/>
          <w:szCs w:val="21"/>
        </w:rPr>
        <w:t>1</w:t>
      </w:r>
      <w:r>
        <w:rPr>
          <w:rFonts w:hint="eastAsia"/>
          <w:szCs w:val="21"/>
        </w:rPr>
        <w:t>（</w:t>
      </w:r>
      <w:r>
        <w:rPr>
          <w:rFonts w:hint="eastAsia"/>
          <w:szCs w:val="21"/>
        </w:rPr>
        <w:t>1</w:t>
      </w:r>
      <w:r>
        <w:rPr>
          <w:rFonts w:hint="eastAsia"/>
          <w:szCs w:val="21"/>
        </w:rPr>
        <w:t>）</w:t>
      </w:r>
      <w:r>
        <w:rPr>
          <w:szCs w:val="21"/>
        </w:rPr>
        <w:t>或第二法</w:t>
      </w:r>
      <w:r>
        <w:rPr>
          <w:rFonts w:hint="eastAsia"/>
          <w:szCs w:val="21"/>
        </w:rPr>
        <w:t>或第三法条件</w:t>
      </w:r>
      <w:r>
        <w:rPr>
          <w:rFonts w:hint="eastAsia"/>
          <w:szCs w:val="21"/>
        </w:rPr>
        <w:t>B</w:t>
      </w:r>
      <w:r>
        <w:rPr>
          <w:szCs w:val="21"/>
        </w:rPr>
        <w:t>测定，</w:t>
      </w:r>
      <w:r>
        <w:rPr>
          <w:bCs/>
          <w:szCs w:val="21"/>
        </w:rPr>
        <w:t>试验时热</w:t>
      </w:r>
      <w:r>
        <w:rPr>
          <w:rFonts w:hint="eastAsia"/>
          <w:bCs/>
          <w:szCs w:val="21"/>
        </w:rPr>
        <w:t>合</w:t>
      </w:r>
      <w:r>
        <w:rPr>
          <w:bCs/>
          <w:szCs w:val="21"/>
        </w:rPr>
        <w:t>面向低湿度侧，应符合</w:t>
      </w:r>
      <w:r>
        <w:rPr>
          <w:kern w:val="0"/>
          <w:szCs w:val="21"/>
        </w:rPr>
        <w:t>表</w:t>
      </w:r>
      <w:r>
        <w:rPr>
          <w:rFonts w:hint="eastAsia"/>
          <w:kern w:val="0"/>
          <w:szCs w:val="21"/>
        </w:rPr>
        <w:t>2</w:t>
      </w:r>
      <w:r>
        <w:rPr>
          <w:rFonts w:hint="eastAsia"/>
          <w:kern w:val="0"/>
          <w:szCs w:val="21"/>
        </w:rPr>
        <w:t>中相应级别</w:t>
      </w:r>
      <w:r>
        <w:rPr>
          <w:kern w:val="0"/>
          <w:szCs w:val="21"/>
        </w:rPr>
        <w:t>的</w:t>
      </w:r>
      <w:r>
        <w:rPr>
          <w:bCs/>
          <w:szCs w:val="21"/>
        </w:rPr>
        <w:t>规定。</w:t>
      </w:r>
    </w:p>
    <w:p w:rsidR="00AC7711" w:rsidRDefault="00DF6DB4">
      <w:pPr>
        <w:adjustRightInd w:val="0"/>
        <w:snapToGrid w:val="0"/>
        <w:spacing w:line="360" w:lineRule="auto"/>
        <w:jc w:val="center"/>
        <w:rPr>
          <w:szCs w:val="21"/>
        </w:rPr>
      </w:pPr>
      <w:r>
        <w:rPr>
          <w:rFonts w:hint="eastAsia"/>
          <w:szCs w:val="21"/>
        </w:rPr>
        <w:t>表</w:t>
      </w:r>
      <w:r>
        <w:rPr>
          <w:rFonts w:hint="eastAsia"/>
          <w:szCs w:val="21"/>
        </w:rPr>
        <w:t xml:space="preserve">2 </w:t>
      </w:r>
      <w:r>
        <w:rPr>
          <w:rFonts w:hint="eastAsia"/>
          <w:szCs w:val="21"/>
        </w:rPr>
        <w:t>水蒸气透过量分级及性能指标</w:t>
      </w:r>
    </w:p>
    <w:tbl>
      <w:tblPr>
        <w:tblW w:w="3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643"/>
      </w:tblGrid>
      <w:tr w:rsidR="00AC7711">
        <w:trPr>
          <w:trHeight w:val="406"/>
          <w:jc w:val="center"/>
        </w:trPr>
        <w:tc>
          <w:tcPr>
            <w:tcW w:w="1744" w:type="pct"/>
            <w:tcBorders>
              <w:top w:val="single" w:sz="4" w:space="0" w:color="auto"/>
              <w:left w:val="nil"/>
              <w:bottom w:val="single" w:sz="4" w:space="0" w:color="auto"/>
              <w:right w:val="single" w:sz="4" w:space="0" w:color="auto"/>
            </w:tcBorders>
            <w:vAlign w:val="center"/>
          </w:tcPr>
          <w:p w:rsidR="00AC7711" w:rsidRDefault="00DF6DB4">
            <w:pPr>
              <w:adjustRightInd w:val="0"/>
              <w:snapToGrid w:val="0"/>
              <w:spacing w:line="360" w:lineRule="auto"/>
              <w:jc w:val="center"/>
              <w:rPr>
                <w:szCs w:val="21"/>
              </w:rPr>
            </w:pPr>
            <w:r>
              <w:rPr>
                <w:rFonts w:hint="eastAsia"/>
                <w:szCs w:val="21"/>
              </w:rPr>
              <w:t>分级</w:t>
            </w:r>
          </w:p>
        </w:tc>
        <w:tc>
          <w:tcPr>
            <w:tcW w:w="3256" w:type="pct"/>
            <w:tcBorders>
              <w:top w:val="single" w:sz="4" w:space="0" w:color="auto"/>
              <w:left w:val="single" w:sz="4" w:space="0" w:color="auto"/>
              <w:bottom w:val="single" w:sz="4" w:space="0" w:color="auto"/>
              <w:right w:val="nil"/>
            </w:tcBorders>
            <w:vAlign w:val="center"/>
          </w:tcPr>
          <w:p w:rsidR="00AC7711" w:rsidRDefault="00DF6DB4">
            <w:pPr>
              <w:adjustRightInd w:val="0"/>
              <w:snapToGrid w:val="0"/>
              <w:spacing w:line="360" w:lineRule="auto"/>
              <w:jc w:val="center"/>
              <w:rPr>
                <w:szCs w:val="21"/>
              </w:rPr>
            </w:pPr>
            <w:r>
              <w:rPr>
                <w:rFonts w:hint="eastAsia"/>
                <w:szCs w:val="21"/>
              </w:rPr>
              <w:t>水蒸气透过量</w:t>
            </w:r>
            <w:r>
              <w:rPr>
                <w:rFonts w:hint="eastAsia"/>
                <w:szCs w:val="21"/>
              </w:rPr>
              <w:t xml:space="preserve"> [</w:t>
            </w:r>
            <w:r>
              <w:rPr>
                <w:szCs w:val="21"/>
              </w:rPr>
              <w:t>g/</w:t>
            </w:r>
            <w:r>
              <w:rPr>
                <w:rFonts w:hint="eastAsia"/>
                <w:szCs w:val="21"/>
              </w:rPr>
              <w:t>（</w:t>
            </w:r>
            <w:r>
              <w:rPr>
                <w:rFonts w:hint="eastAsia"/>
                <w:szCs w:val="21"/>
              </w:rPr>
              <w:t>m</w:t>
            </w:r>
            <w:r>
              <w:rPr>
                <w:szCs w:val="21"/>
                <w:vertAlign w:val="superscript"/>
              </w:rPr>
              <w:t>2</w:t>
            </w:r>
            <w:r>
              <w:rPr>
                <w:szCs w:val="21"/>
              </w:rPr>
              <w:t>·24h</w:t>
            </w:r>
            <w:r>
              <w:rPr>
                <w:rFonts w:hint="eastAsia"/>
                <w:szCs w:val="21"/>
              </w:rPr>
              <w:t>）</w:t>
            </w:r>
            <w:r>
              <w:rPr>
                <w:rFonts w:hint="eastAsia"/>
                <w:szCs w:val="21"/>
              </w:rPr>
              <w:t>]</w:t>
            </w:r>
          </w:p>
        </w:tc>
      </w:tr>
      <w:tr w:rsidR="00AC7711">
        <w:trPr>
          <w:trHeight w:val="396"/>
          <w:jc w:val="center"/>
        </w:trPr>
        <w:tc>
          <w:tcPr>
            <w:tcW w:w="1744" w:type="pct"/>
            <w:tcBorders>
              <w:top w:val="single" w:sz="4" w:space="0" w:color="auto"/>
              <w:left w:val="nil"/>
              <w:bottom w:val="single" w:sz="4" w:space="0" w:color="auto"/>
              <w:right w:val="single" w:sz="4" w:space="0" w:color="auto"/>
            </w:tcBorders>
            <w:vAlign w:val="center"/>
          </w:tcPr>
          <w:p w:rsidR="00AC7711" w:rsidRDefault="00DF6DB4">
            <w:pPr>
              <w:adjustRightInd w:val="0"/>
              <w:snapToGrid w:val="0"/>
              <w:spacing w:line="360" w:lineRule="auto"/>
              <w:jc w:val="center"/>
              <w:rPr>
                <w:szCs w:val="21"/>
              </w:rPr>
            </w:pPr>
            <w:r>
              <w:rPr>
                <w:rFonts w:hint="eastAsia"/>
                <w:szCs w:val="21"/>
              </w:rPr>
              <w:t>高阻水</w:t>
            </w:r>
          </w:p>
        </w:tc>
        <w:tc>
          <w:tcPr>
            <w:tcW w:w="3256" w:type="pct"/>
            <w:tcBorders>
              <w:top w:val="single" w:sz="4" w:space="0" w:color="auto"/>
              <w:left w:val="single" w:sz="4" w:space="0" w:color="auto"/>
              <w:bottom w:val="single" w:sz="4" w:space="0" w:color="auto"/>
              <w:right w:val="nil"/>
            </w:tcBorders>
            <w:vAlign w:val="center"/>
          </w:tcPr>
          <w:p w:rsidR="00AC7711" w:rsidRDefault="00DF6DB4">
            <w:pPr>
              <w:adjustRightInd w:val="0"/>
              <w:snapToGrid w:val="0"/>
              <w:spacing w:line="360" w:lineRule="auto"/>
              <w:jc w:val="center"/>
              <w:rPr>
                <w:szCs w:val="21"/>
              </w:rPr>
            </w:pPr>
            <w:r>
              <w:rPr>
                <w:rFonts w:hint="eastAsia"/>
                <w:szCs w:val="21"/>
              </w:rPr>
              <w:t>≤</w:t>
            </w:r>
            <w:r>
              <w:rPr>
                <w:rFonts w:hint="eastAsia"/>
                <w:szCs w:val="21"/>
              </w:rPr>
              <w:t>0.5</w:t>
            </w:r>
          </w:p>
        </w:tc>
      </w:tr>
      <w:tr w:rsidR="00AC7711">
        <w:trPr>
          <w:trHeight w:val="396"/>
          <w:jc w:val="center"/>
        </w:trPr>
        <w:tc>
          <w:tcPr>
            <w:tcW w:w="1744" w:type="pct"/>
            <w:tcBorders>
              <w:top w:val="single" w:sz="4" w:space="0" w:color="auto"/>
              <w:left w:val="nil"/>
              <w:bottom w:val="single" w:sz="4" w:space="0" w:color="auto"/>
              <w:right w:val="single" w:sz="4" w:space="0" w:color="auto"/>
            </w:tcBorders>
            <w:vAlign w:val="center"/>
          </w:tcPr>
          <w:p w:rsidR="00AC7711" w:rsidRDefault="00DF6DB4">
            <w:pPr>
              <w:adjustRightInd w:val="0"/>
              <w:snapToGrid w:val="0"/>
              <w:spacing w:line="360" w:lineRule="auto"/>
              <w:jc w:val="center"/>
              <w:rPr>
                <w:szCs w:val="21"/>
              </w:rPr>
            </w:pPr>
            <w:r>
              <w:rPr>
                <w:rFonts w:hint="eastAsia"/>
                <w:szCs w:val="21"/>
              </w:rPr>
              <w:t>中阻水</w:t>
            </w:r>
          </w:p>
        </w:tc>
        <w:tc>
          <w:tcPr>
            <w:tcW w:w="3256" w:type="pct"/>
            <w:tcBorders>
              <w:top w:val="single" w:sz="4" w:space="0" w:color="auto"/>
              <w:left w:val="single" w:sz="4" w:space="0" w:color="auto"/>
              <w:bottom w:val="single" w:sz="4" w:space="0" w:color="auto"/>
              <w:right w:val="nil"/>
            </w:tcBorders>
            <w:vAlign w:val="center"/>
          </w:tcPr>
          <w:p w:rsidR="00AC7711" w:rsidRDefault="00DF6DB4">
            <w:pPr>
              <w:adjustRightInd w:val="0"/>
              <w:snapToGrid w:val="0"/>
              <w:spacing w:line="360" w:lineRule="auto"/>
              <w:jc w:val="center"/>
              <w:rPr>
                <w:szCs w:val="21"/>
              </w:rPr>
            </w:pPr>
            <w:r>
              <w:rPr>
                <w:rFonts w:hint="eastAsia"/>
                <w:szCs w:val="21"/>
              </w:rPr>
              <w:t>≤</w:t>
            </w:r>
            <w:r>
              <w:rPr>
                <w:rFonts w:hint="eastAsia"/>
                <w:szCs w:val="21"/>
              </w:rPr>
              <w:t>2.0</w:t>
            </w:r>
          </w:p>
        </w:tc>
      </w:tr>
      <w:tr w:rsidR="00AC7711">
        <w:trPr>
          <w:trHeight w:val="396"/>
          <w:jc w:val="center"/>
        </w:trPr>
        <w:tc>
          <w:tcPr>
            <w:tcW w:w="1744" w:type="pct"/>
            <w:tcBorders>
              <w:top w:val="single" w:sz="4" w:space="0" w:color="auto"/>
              <w:left w:val="nil"/>
              <w:bottom w:val="single" w:sz="4" w:space="0" w:color="auto"/>
              <w:right w:val="single" w:sz="4" w:space="0" w:color="auto"/>
            </w:tcBorders>
            <w:vAlign w:val="center"/>
          </w:tcPr>
          <w:p w:rsidR="00AC7711" w:rsidRDefault="00DF6DB4">
            <w:pPr>
              <w:adjustRightInd w:val="0"/>
              <w:snapToGrid w:val="0"/>
              <w:spacing w:line="360" w:lineRule="auto"/>
              <w:jc w:val="center"/>
              <w:rPr>
                <w:szCs w:val="21"/>
              </w:rPr>
            </w:pPr>
            <w:r>
              <w:rPr>
                <w:rFonts w:hint="eastAsia"/>
                <w:szCs w:val="21"/>
              </w:rPr>
              <w:t>低阻水</w:t>
            </w:r>
          </w:p>
        </w:tc>
        <w:tc>
          <w:tcPr>
            <w:tcW w:w="3256" w:type="pct"/>
            <w:tcBorders>
              <w:top w:val="single" w:sz="4" w:space="0" w:color="auto"/>
              <w:left w:val="single" w:sz="4" w:space="0" w:color="auto"/>
              <w:bottom w:val="single" w:sz="4" w:space="0" w:color="auto"/>
              <w:right w:val="nil"/>
            </w:tcBorders>
            <w:vAlign w:val="center"/>
          </w:tcPr>
          <w:p w:rsidR="00AC7711" w:rsidRDefault="00DF6DB4">
            <w:pPr>
              <w:adjustRightInd w:val="0"/>
              <w:snapToGrid w:val="0"/>
              <w:spacing w:line="360" w:lineRule="auto"/>
              <w:jc w:val="center"/>
              <w:rPr>
                <w:szCs w:val="21"/>
              </w:rPr>
            </w:pPr>
            <w:r>
              <w:rPr>
                <w:rFonts w:hint="eastAsia"/>
                <w:szCs w:val="21"/>
              </w:rPr>
              <w:t>≤</w:t>
            </w:r>
            <w:r>
              <w:rPr>
                <w:rFonts w:hint="eastAsia"/>
                <w:szCs w:val="21"/>
              </w:rPr>
              <w:t>5.5</w:t>
            </w:r>
          </w:p>
        </w:tc>
      </w:tr>
    </w:tbl>
    <w:p w:rsidR="00AC7711" w:rsidRDefault="00DF6DB4">
      <w:pPr>
        <w:adjustRightInd w:val="0"/>
        <w:snapToGrid w:val="0"/>
        <w:spacing w:line="360" w:lineRule="auto"/>
        <w:rPr>
          <w:b/>
          <w:szCs w:val="21"/>
        </w:rPr>
      </w:pPr>
      <w:r>
        <w:rPr>
          <w:rFonts w:hint="eastAsia"/>
          <w:b/>
          <w:szCs w:val="21"/>
        </w:rPr>
        <w:t>3</w:t>
      </w:r>
      <w:r>
        <w:rPr>
          <w:b/>
          <w:szCs w:val="21"/>
        </w:rPr>
        <w:t>.</w:t>
      </w:r>
      <w:r>
        <w:rPr>
          <w:rFonts w:hint="eastAsia"/>
          <w:b/>
          <w:szCs w:val="21"/>
        </w:rPr>
        <w:t xml:space="preserve">2 </w:t>
      </w:r>
      <w:r>
        <w:rPr>
          <w:rFonts w:hint="eastAsia"/>
          <w:b/>
          <w:szCs w:val="21"/>
        </w:rPr>
        <w:t>剥离强度（适用于内层与次内层采用粘合剂复合工艺）</w:t>
      </w:r>
    </w:p>
    <w:p w:rsidR="00AC7711" w:rsidRDefault="00DF6DB4">
      <w:pPr>
        <w:adjustRightInd w:val="0"/>
        <w:snapToGrid w:val="0"/>
        <w:spacing w:line="360" w:lineRule="auto"/>
        <w:ind w:firstLineChars="200" w:firstLine="420"/>
        <w:rPr>
          <w:szCs w:val="21"/>
        </w:rPr>
      </w:pPr>
      <w:bookmarkStart w:id="4" w:name="_Hlk106656379"/>
      <w:r>
        <w:rPr>
          <w:rFonts w:hint="eastAsia"/>
          <w:szCs w:val="21"/>
        </w:rPr>
        <w:t>照剥离强度测定法（通则</w:t>
      </w:r>
      <w:r>
        <w:rPr>
          <w:rFonts w:hint="eastAsia"/>
          <w:szCs w:val="21"/>
        </w:rPr>
        <w:t>4004</w:t>
      </w:r>
      <w:r>
        <w:rPr>
          <w:rFonts w:hint="eastAsia"/>
          <w:szCs w:val="21"/>
        </w:rPr>
        <w:t>）测定，试验时内层与次内层及以上为共挤复合工艺时视为一层，纵向、横向剥离强度的平均值均应符合表</w:t>
      </w:r>
      <w:r>
        <w:rPr>
          <w:szCs w:val="21"/>
        </w:rPr>
        <w:t>3</w:t>
      </w:r>
      <w:r>
        <w:rPr>
          <w:rFonts w:hint="eastAsia"/>
          <w:szCs w:val="21"/>
        </w:rPr>
        <w:t>中相应级别的规定。</w:t>
      </w:r>
      <w:bookmarkEnd w:id="4"/>
    </w:p>
    <w:p w:rsidR="00AC7711" w:rsidRDefault="00DF6DB4">
      <w:pPr>
        <w:adjustRightInd w:val="0"/>
        <w:snapToGrid w:val="0"/>
        <w:spacing w:line="360" w:lineRule="auto"/>
        <w:jc w:val="center"/>
        <w:rPr>
          <w:szCs w:val="21"/>
        </w:rPr>
      </w:pPr>
      <w:r>
        <w:rPr>
          <w:rFonts w:hint="eastAsia"/>
          <w:szCs w:val="21"/>
        </w:rPr>
        <w:t>表</w:t>
      </w:r>
      <w:r>
        <w:rPr>
          <w:szCs w:val="21"/>
        </w:rPr>
        <w:t>3</w:t>
      </w:r>
      <w:r>
        <w:rPr>
          <w:rFonts w:hint="eastAsia"/>
          <w:szCs w:val="21"/>
        </w:rPr>
        <w:t>剥离强度分级及要求</w:t>
      </w:r>
    </w:p>
    <w:tbl>
      <w:tblPr>
        <w:tblW w:w="33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3782"/>
      </w:tblGrid>
      <w:tr w:rsidR="00AC7711">
        <w:trPr>
          <w:trHeight w:val="384"/>
          <w:jc w:val="center"/>
        </w:trPr>
        <w:tc>
          <w:tcPr>
            <w:tcW w:w="1953" w:type="dxa"/>
            <w:tcBorders>
              <w:top w:val="single" w:sz="4" w:space="0" w:color="auto"/>
              <w:left w:val="nil"/>
              <w:bottom w:val="single" w:sz="4" w:space="0" w:color="auto"/>
              <w:right w:val="single" w:sz="4" w:space="0" w:color="auto"/>
            </w:tcBorders>
            <w:vAlign w:val="center"/>
          </w:tcPr>
          <w:p w:rsidR="00AC7711" w:rsidRDefault="00DF6DB4">
            <w:pPr>
              <w:adjustRightInd w:val="0"/>
              <w:snapToGrid w:val="0"/>
              <w:spacing w:line="360" w:lineRule="auto"/>
              <w:jc w:val="center"/>
              <w:rPr>
                <w:szCs w:val="21"/>
              </w:rPr>
            </w:pPr>
            <w:r>
              <w:rPr>
                <w:rFonts w:hint="eastAsia"/>
                <w:szCs w:val="21"/>
              </w:rPr>
              <w:t>分级</w:t>
            </w:r>
          </w:p>
        </w:tc>
        <w:tc>
          <w:tcPr>
            <w:tcW w:w="3783" w:type="dxa"/>
            <w:tcBorders>
              <w:top w:val="single" w:sz="4" w:space="0" w:color="auto"/>
              <w:left w:val="single" w:sz="4" w:space="0" w:color="auto"/>
              <w:bottom w:val="single" w:sz="4" w:space="0" w:color="auto"/>
              <w:right w:val="nil"/>
            </w:tcBorders>
            <w:vAlign w:val="center"/>
          </w:tcPr>
          <w:p w:rsidR="00AC7711" w:rsidRDefault="00DF6DB4">
            <w:pPr>
              <w:adjustRightInd w:val="0"/>
              <w:snapToGrid w:val="0"/>
              <w:spacing w:line="360" w:lineRule="auto"/>
              <w:jc w:val="center"/>
              <w:rPr>
                <w:szCs w:val="21"/>
              </w:rPr>
            </w:pPr>
            <w:r>
              <w:rPr>
                <w:rFonts w:hint="eastAsia"/>
                <w:szCs w:val="21"/>
              </w:rPr>
              <w:t>内层与次内层剥离强度（</w:t>
            </w:r>
            <w:r>
              <w:rPr>
                <w:rFonts w:hint="eastAsia"/>
                <w:szCs w:val="21"/>
              </w:rPr>
              <w:t>N/15mm</w:t>
            </w:r>
            <w:r>
              <w:rPr>
                <w:rFonts w:hint="eastAsia"/>
                <w:szCs w:val="21"/>
              </w:rPr>
              <w:t>）</w:t>
            </w:r>
          </w:p>
        </w:tc>
      </w:tr>
      <w:tr w:rsidR="00AC7711">
        <w:trPr>
          <w:trHeight w:val="289"/>
          <w:jc w:val="center"/>
        </w:trPr>
        <w:tc>
          <w:tcPr>
            <w:tcW w:w="1953" w:type="dxa"/>
            <w:tcBorders>
              <w:top w:val="single" w:sz="4" w:space="0" w:color="auto"/>
              <w:left w:val="nil"/>
              <w:bottom w:val="single" w:sz="4" w:space="0" w:color="auto"/>
              <w:right w:val="single" w:sz="4" w:space="0" w:color="auto"/>
            </w:tcBorders>
            <w:vAlign w:val="center"/>
          </w:tcPr>
          <w:p w:rsidR="00AC7711" w:rsidRDefault="00DF6DB4">
            <w:pPr>
              <w:adjustRightInd w:val="0"/>
              <w:snapToGrid w:val="0"/>
              <w:spacing w:line="360" w:lineRule="auto"/>
              <w:jc w:val="center"/>
              <w:rPr>
                <w:szCs w:val="21"/>
              </w:rPr>
            </w:pPr>
            <w:r>
              <w:rPr>
                <w:rFonts w:hint="eastAsia"/>
                <w:szCs w:val="21"/>
              </w:rPr>
              <w:t>1</w:t>
            </w:r>
          </w:p>
        </w:tc>
        <w:tc>
          <w:tcPr>
            <w:tcW w:w="3783" w:type="dxa"/>
            <w:tcBorders>
              <w:top w:val="single" w:sz="4" w:space="0" w:color="auto"/>
              <w:left w:val="single" w:sz="4" w:space="0" w:color="auto"/>
              <w:bottom w:val="single" w:sz="4" w:space="0" w:color="auto"/>
              <w:right w:val="nil"/>
            </w:tcBorders>
            <w:vAlign w:val="center"/>
          </w:tcPr>
          <w:p w:rsidR="00AC7711" w:rsidRDefault="00DF6DB4">
            <w:pPr>
              <w:adjustRightInd w:val="0"/>
              <w:snapToGrid w:val="0"/>
              <w:spacing w:line="360" w:lineRule="auto"/>
              <w:jc w:val="center"/>
              <w:rPr>
                <w:szCs w:val="21"/>
              </w:rPr>
            </w:pPr>
            <w:r>
              <w:rPr>
                <w:rFonts w:hint="eastAsia"/>
                <w:szCs w:val="21"/>
              </w:rPr>
              <w:t>≥</w:t>
            </w:r>
            <w:r>
              <w:rPr>
                <w:rFonts w:hint="eastAsia"/>
                <w:szCs w:val="21"/>
              </w:rPr>
              <w:t>2.5</w:t>
            </w:r>
          </w:p>
        </w:tc>
      </w:tr>
      <w:tr w:rsidR="00AC7711">
        <w:trPr>
          <w:trHeight w:val="289"/>
          <w:jc w:val="center"/>
        </w:trPr>
        <w:tc>
          <w:tcPr>
            <w:tcW w:w="1953" w:type="dxa"/>
            <w:tcBorders>
              <w:top w:val="single" w:sz="4" w:space="0" w:color="auto"/>
              <w:left w:val="nil"/>
              <w:bottom w:val="single" w:sz="4" w:space="0" w:color="auto"/>
              <w:right w:val="single" w:sz="4" w:space="0" w:color="auto"/>
            </w:tcBorders>
            <w:vAlign w:val="center"/>
          </w:tcPr>
          <w:p w:rsidR="00AC7711" w:rsidRDefault="00DF6DB4">
            <w:pPr>
              <w:adjustRightInd w:val="0"/>
              <w:snapToGrid w:val="0"/>
              <w:spacing w:line="360" w:lineRule="auto"/>
              <w:jc w:val="center"/>
              <w:rPr>
                <w:szCs w:val="21"/>
              </w:rPr>
            </w:pPr>
            <w:r>
              <w:rPr>
                <w:rFonts w:hint="eastAsia"/>
                <w:szCs w:val="21"/>
              </w:rPr>
              <w:t>2</w:t>
            </w:r>
          </w:p>
        </w:tc>
        <w:tc>
          <w:tcPr>
            <w:tcW w:w="3783" w:type="dxa"/>
            <w:tcBorders>
              <w:top w:val="single" w:sz="4" w:space="0" w:color="auto"/>
              <w:left w:val="single" w:sz="4" w:space="0" w:color="auto"/>
              <w:bottom w:val="single" w:sz="4" w:space="0" w:color="auto"/>
              <w:right w:val="nil"/>
            </w:tcBorders>
            <w:vAlign w:val="center"/>
          </w:tcPr>
          <w:p w:rsidR="00AC7711" w:rsidRDefault="00DF6DB4">
            <w:pPr>
              <w:adjustRightInd w:val="0"/>
              <w:snapToGrid w:val="0"/>
              <w:spacing w:line="360" w:lineRule="auto"/>
              <w:jc w:val="center"/>
              <w:rPr>
                <w:szCs w:val="21"/>
              </w:rPr>
            </w:pPr>
            <w:r>
              <w:rPr>
                <w:rFonts w:hint="eastAsia"/>
                <w:szCs w:val="21"/>
              </w:rPr>
              <w:t>≥</w:t>
            </w:r>
            <w:r>
              <w:rPr>
                <w:rFonts w:hint="eastAsia"/>
                <w:szCs w:val="21"/>
              </w:rPr>
              <w:t>1.0</w:t>
            </w:r>
          </w:p>
        </w:tc>
      </w:tr>
      <w:tr w:rsidR="00AC7711">
        <w:trPr>
          <w:trHeight w:val="289"/>
          <w:jc w:val="center"/>
        </w:trPr>
        <w:tc>
          <w:tcPr>
            <w:tcW w:w="1953" w:type="dxa"/>
            <w:tcBorders>
              <w:top w:val="single" w:sz="4" w:space="0" w:color="auto"/>
              <w:left w:val="nil"/>
              <w:bottom w:val="single" w:sz="4" w:space="0" w:color="auto"/>
              <w:right w:val="single" w:sz="4" w:space="0" w:color="auto"/>
            </w:tcBorders>
            <w:vAlign w:val="center"/>
          </w:tcPr>
          <w:p w:rsidR="00AC7711" w:rsidRDefault="00DF6DB4">
            <w:pPr>
              <w:adjustRightInd w:val="0"/>
              <w:snapToGrid w:val="0"/>
              <w:spacing w:line="360" w:lineRule="auto"/>
              <w:jc w:val="center"/>
              <w:rPr>
                <w:szCs w:val="21"/>
              </w:rPr>
            </w:pPr>
            <w:r>
              <w:rPr>
                <w:rFonts w:hint="eastAsia"/>
                <w:szCs w:val="21"/>
              </w:rPr>
              <w:t>3*</w:t>
            </w:r>
          </w:p>
        </w:tc>
        <w:tc>
          <w:tcPr>
            <w:tcW w:w="3783" w:type="dxa"/>
            <w:tcBorders>
              <w:top w:val="single" w:sz="4" w:space="0" w:color="auto"/>
              <w:left w:val="single" w:sz="4" w:space="0" w:color="auto"/>
              <w:bottom w:val="single" w:sz="4" w:space="0" w:color="auto"/>
              <w:right w:val="nil"/>
            </w:tcBorders>
            <w:vAlign w:val="center"/>
          </w:tcPr>
          <w:p w:rsidR="00AC7711" w:rsidRDefault="00DF6DB4">
            <w:pPr>
              <w:adjustRightInd w:val="0"/>
              <w:snapToGrid w:val="0"/>
              <w:spacing w:line="360" w:lineRule="auto"/>
              <w:jc w:val="center"/>
              <w:rPr>
                <w:szCs w:val="21"/>
              </w:rPr>
            </w:pPr>
            <w:r>
              <w:rPr>
                <w:rFonts w:hint="eastAsia"/>
                <w:szCs w:val="21"/>
              </w:rPr>
              <w:t>≥</w:t>
            </w:r>
            <w:r>
              <w:rPr>
                <w:rFonts w:hint="eastAsia"/>
                <w:szCs w:val="21"/>
              </w:rPr>
              <w:t>0.5</w:t>
            </w:r>
          </w:p>
        </w:tc>
      </w:tr>
    </w:tbl>
    <w:p w:rsidR="00AC7711" w:rsidRDefault="00AC7711">
      <w:pPr>
        <w:adjustRightInd w:val="0"/>
        <w:snapToGrid w:val="0"/>
        <w:spacing w:line="360" w:lineRule="auto"/>
        <w:ind w:firstLineChars="200" w:firstLine="420"/>
        <w:rPr>
          <w:rFonts w:cs="宋体"/>
          <w:szCs w:val="21"/>
        </w:rPr>
      </w:pPr>
    </w:p>
    <w:p w:rsidR="00AC7711" w:rsidRDefault="00DF6DB4">
      <w:pPr>
        <w:adjustRightInd w:val="0"/>
        <w:snapToGrid w:val="0"/>
        <w:spacing w:line="360" w:lineRule="auto"/>
        <w:ind w:firstLineChars="200" w:firstLine="420"/>
        <w:rPr>
          <w:rFonts w:cs="宋体"/>
          <w:szCs w:val="21"/>
        </w:rPr>
      </w:pPr>
      <w:r>
        <w:rPr>
          <w:rFonts w:cs="宋体" w:hint="eastAsia"/>
          <w:szCs w:val="21"/>
        </w:rPr>
        <w:t>注：</w:t>
      </w:r>
      <w:r>
        <w:rPr>
          <w:rFonts w:cs="宋体" w:hint="eastAsia"/>
          <w:szCs w:val="21"/>
        </w:rPr>
        <w:t>1</w:t>
      </w:r>
      <w:r>
        <w:rPr>
          <w:rFonts w:cs="宋体" w:hint="eastAsia"/>
          <w:szCs w:val="21"/>
        </w:rPr>
        <w:t>、当样品纵向、横向任意一向的平均值不符合要求时，则判定剥离强度不合格；</w:t>
      </w:r>
    </w:p>
    <w:p w:rsidR="00AC7711" w:rsidRDefault="00DF6DB4">
      <w:pPr>
        <w:adjustRightInd w:val="0"/>
        <w:snapToGrid w:val="0"/>
        <w:spacing w:line="360" w:lineRule="auto"/>
        <w:ind w:firstLineChars="200" w:firstLine="420"/>
        <w:rPr>
          <w:rFonts w:cs="宋体"/>
          <w:szCs w:val="21"/>
        </w:rPr>
      </w:pPr>
      <w:r>
        <w:rPr>
          <w:rFonts w:cs="宋体" w:hint="eastAsia"/>
          <w:szCs w:val="21"/>
        </w:rPr>
        <w:t>2</w:t>
      </w:r>
      <w:r>
        <w:rPr>
          <w:rFonts w:cs="宋体" w:hint="eastAsia"/>
          <w:szCs w:val="21"/>
        </w:rPr>
        <w:t>、当样品纵向、横向任意一向的尺寸不能满足方法标准规定的取样要求时，则该方向可不进行剥离强度的试验；</w:t>
      </w:r>
    </w:p>
    <w:p w:rsidR="00AC7711" w:rsidRDefault="00DF6DB4">
      <w:pPr>
        <w:adjustRightInd w:val="0"/>
        <w:snapToGrid w:val="0"/>
        <w:spacing w:line="360" w:lineRule="auto"/>
        <w:ind w:firstLineChars="200" w:firstLine="420"/>
        <w:rPr>
          <w:rFonts w:cs="宋体"/>
          <w:szCs w:val="21"/>
        </w:rPr>
      </w:pPr>
      <w:r>
        <w:rPr>
          <w:rFonts w:cs="宋体" w:hint="eastAsia"/>
          <w:szCs w:val="21"/>
        </w:rPr>
        <w:t>3</w:t>
      </w:r>
      <w:r>
        <w:rPr>
          <w:rFonts w:cs="宋体" w:hint="eastAsia"/>
          <w:szCs w:val="21"/>
        </w:rPr>
        <w:t>、</w:t>
      </w:r>
      <w:r>
        <w:rPr>
          <w:rFonts w:cs="宋体" w:hint="eastAsia"/>
          <w:szCs w:val="21"/>
        </w:rPr>
        <w:t>*</w:t>
      </w:r>
      <w:r>
        <w:rPr>
          <w:rFonts w:cs="宋体" w:hint="eastAsia"/>
          <w:szCs w:val="21"/>
        </w:rPr>
        <w:t>仅适用于</w:t>
      </w:r>
      <w:bookmarkStart w:id="5" w:name="_Hlk119676592"/>
      <w:r>
        <w:rPr>
          <w:rFonts w:cs="宋体" w:hint="eastAsia"/>
          <w:szCs w:val="21"/>
        </w:rPr>
        <w:t>包装小规格制剂（如</w:t>
      </w:r>
      <w:r>
        <w:rPr>
          <w:rFonts w:cs="宋体" w:hint="eastAsia"/>
          <w:color w:val="000000" w:themeColor="text1"/>
          <w:szCs w:val="21"/>
        </w:rPr>
        <w:t>≤</w:t>
      </w:r>
      <w:r>
        <w:rPr>
          <w:rFonts w:cs="宋体" w:hint="eastAsia"/>
          <w:szCs w:val="21"/>
        </w:rPr>
        <w:t>0.2g</w:t>
      </w:r>
      <w:r>
        <w:rPr>
          <w:rFonts w:cs="宋体" w:hint="eastAsia"/>
          <w:szCs w:val="21"/>
        </w:rPr>
        <w:t>）用复合膜</w:t>
      </w:r>
      <w:r>
        <w:rPr>
          <w:rFonts w:cs="宋体" w:hint="eastAsia"/>
          <w:szCs w:val="21"/>
        </w:rPr>
        <w:t>/</w:t>
      </w:r>
      <w:r>
        <w:rPr>
          <w:rFonts w:cs="宋体" w:hint="eastAsia"/>
          <w:szCs w:val="21"/>
        </w:rPr>
        <w:t>袋</w:t>
      </w:r>
      <w:bookmarkEnd w:id="5"/>
      <w:r>
        <w:rPr>
          <w:rFonts w:cs="宋体" w:hint="eastAsia"/>
          <w:szCs w:val="21"/>
        </w:rPr>
        <w:t>。</w:t>
      </w:r>
    </w:p>
    <w:p w:rsidR="00AC7711" w:rsidRDefault="00DF6DB4">
      <w:pPr>
        <w:adjustRightInd w:val="0"/>
        <w:snapToGrid w:val="0"/>
        <w:spacing w:line="360" w:lineRule="auto"/>
        <w:rPr>
          <w:b/>
          <w:szCs w:val="21"/>
        </w:rPr>
      </w:pPr>
      <w:r>
        <w:rPr>
          <w:rFonts w:hint="eastAsia"/>
          <w:b/>
          <w:szCs w:val="21"/>
        </w:rPr>
        <w:t>3</w:t>
      </w:r>
      <w:r>
        <w:rPr>
          <w:b/>
          <w:szCs w:val="21"/>
        </w:rPr>
        <w:t>.</w:t>
      </w:r>
      <w:r>
        <w:rPr>
          <w:rFonts w:hint="eastAsia"/>
          <w:b/>
          <w:szCs w:val="21"/>
        </w:rPr>
        <w:t>3</w:t>
      </w:r>
      <w:r>
        <w:rPr>
          <w:rFonts w:hint="eastAsia"/>
          <w:b/>
          <w:szCs w:val="21"/>
        </w:rPr>
        <w:t>热合强度</w:t>
      </w:r>
    </w:p>
    <w:p w:rsidR="00AC7711" w:rsidRDefault="00DF6DB4">
      <w:pPr>
        <w:adjustRightInd w:val="0"/>
        <w:snapToGrid w:val="0"/>
        <w:spacing w:line="360" w:lineRule="auto"/>
        <w:ind w:firstLineChars="200" w:firstLine="420"/>
        <w:rPr>
          <w:szCs w:val="21"/>
        </w:rPr>
      </w:pPr>
      <w:r>
        <w:rPr>
          <w:rFonts w:hint="eastAsia"/>
          <w:szCs w:val="21"/>
        </w:rPr>
        <w:lastRenderedPageBreak/>
        <w:t>照热合强度测定法（通则</w:t>
      </w:r>
      <w:r>
        <w:rPr>
          <w:rFonts w:hint="eastAsia"/>
          <w:szCs w:val="21"/>
        </w:rPr>
        <w:t>4008</w:t>
      </w:r>
      <w:r>
        <w:rPr>
          <w:rFonts w:hint="eastAsia"/>
          <w:szCs w:val="21"/>
        </w:rPr>
        <w:t>）中有关材料（复合膜）或袋（复合袋）的要求进行测定，平均值均应符合表</w:t>
      </w:r>
      <w:r>
        <w:rPr>
          <w:szCs w:val="21"/>
        </w:rPr>
        <w:t>4</w:t>
      </w:r>
      <w:r>
        <w:rPr>
          <w:rFonts w:hint="eastAsia"/>
          <w:szCs w:val="21"/>
        </w:rPr>
        <w:t>中相应级别的规定。</w:t>
      </w:r>
    </w:p>
    <w:p w:rsidR="00AC7711" w:rsidRDefault="00DF6DB4">
      <w:pPr>
        <w:adjustRightInd w:val="0"/>
        <w:snapToGrid w:val="0"/>
        <w:spacing w:line="360" w:lineRule="auto"/>
        <w:jc w:val="center"/>
        <w:rPr>
          <w:szCs w:val="21"/>
        </w:rPr>
      </w:pPr>
      <w:r>
        <w:rPr>
          <w:rFonts w:hint="eastAsia"/>
          <w:szCs w:val="21"/>
        </w:rPr>
        <w:t>表</w:t>
      </w:r>
      <w:r>
        <w:rPr>
          <w:szCs w:val="21"/>
        </w:rPr>
        <w:t>4</w:t>
      </w:r>
      <w:r>
        <w:rPr>
          <w:rFonts w:hint="eastAsia"/>
          <w:szCs w:val="21"/>
        </w:rPr>
        <w:t>热合强度分级及要求</w:t>
      </w:r>
    </w:p>
    <w:tbl>
      <w:tblPr>
        <w:tblW w:w="5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7"/>
        <w:gridCol w:w="2642"/>
      </w:tblGrid>
      <w:tr w:rsidR="00AC7711">
        <w:trPr>
          <w:trHeight w:val="400"/>
          <w:jc w:val="center"/>
        </w:trPr>
        <w:tc>
          <w:tcPr>
            <w:tcW w:w="2467" w:type="dxa"/>
            <w:tcBorders>
              <w:top w:val="single" w:sz="4" w:space="0" w:color="auto"/>
              <w:left w:val="nil"/>
              <w:bottom w:val="single" w:sz="4" w:space="0" w:color="auto"/>
              <w:right w:val="single" w:sz="4" w:space="0" w:color="auto"/>
            </w:tcBorders>
            <w:vAlign w:val="center"/>
          </w:tcPr>
          <w:p w:rsidR="00AC7711" w:rsidRDefault="00DF6DB4">
            <w:pPr>
              <w:adjustRightInd w:val="0"/>
              <w:snapToGrid w:val="0"/>
              <w:spacing w:line="360" w:lineRule="auto"/>
              <w:jc w:val="center"/>
              <w:rPr>
                <w:szCs w:val="21"/>
              </w:rPr>
            </w:pPr>
            <w:r>
              <w:rPr>
                <w:rFonts w:hint="eastAsia"/>
                <w:szCs w:val="21"/>
              </w:rPr>
              <w:t>分级</w:t>
            </w:r>
          </w:p>
        </w:tc>
        <w:tc>
          <w:tcPr>
            <w:tcW w:w="2642" w:type="dxa"/>
            <w:tcBorders>
              <w:top w:val="single" w:sz="4" w:space="0" w:color="auto"/>
              <w:left w:val="single" w:sz="4" w:space="0" w:color="auto"/>
              <w:bottom w:val="single" w:sz="4" w:space="0" w:color="auto"/>
              <w:right w:val="nil"/>
            </w:tcBorders>
            <w:vAlign w:val="center"/>
          </w:tcPr>
          <w:p w:rsidR="00AC7711" w:rsidRDefault="00DF6DB4">
            <w:pPr>
              <w:adjustRightInd w:val="0"/>
              <w:snapToGrid w:val="0"/>
              <w:spacing w:line="360" w:lineRule="auto"/>
              <w:jc w:val="center"/>
              <w:rPr>
                <w:szCs w:val="21"/>
              </w:rPr>
            </w:pPr>
            <w:r>
              <w:rPr>
                <w:szCs w:val="21"/>
              </w:rPr>
              <w:t>热合强度（</w:t>
            </w:r>
            <w:r>
              <w:rPr>
                <w:szCs w:val="21"/>
              </w:rPr>
              <w:t>N/15mm</w:t>
            </w:r>
            <w:r>
              <w:rPr>
                <w:szCs w:val="21"/>
              </w:rPr>
              <w:t>）</w:t>
            </w:r>
          </w:p>
        </w:tc>
      </w:tr>
      <w:tr w:rsidR="00AC7711">
        <w:trPr>
          <w:trHeight w:val="400"/>
          <w:jc w:val="center"/>
        </w:trPr>
        <w:tc>
          <w:tcPr>
            <w:tcW w:w="2467" w:type="dxa"/>
            <w:tcBorders>
              <w:top w:val="single" w:sz="4" w:space="0" w:color="auto"/>
              <w:left w:val="nil"/>
              <w:bottom w:val="single" w:sz="4" w:space="0" w:color="auto"/>
              <w:right w:val="single" w:sz="4" w:space="0" w:color="auto"/>
            </w:tcBorders>
            <w:vAlign w:val="center"/>
          </w:tcPr>
          <w:p w:rsidR="00AC7711" w:rsidRDefault="00DF6DB4">
            <w:pPr>
              <w:adjustRightInd w:val="0"/>
              <w:snapToGrid w:val="0"/>
              <w:spacing w:line="360" w:lineRule="auto"/>
              <w:jc w:val="center"/>
              <w:rPr>
                <w:szCs w:val="21"/>
              </w:rPr>
            </w:pPr>
            <w:r>
              <w:rPr>
                <w:rFonts w:hint="eastAsia"/>
                <w:szCs w:val="21"/>
              </w:rPr>
              <w:t>1</w:t>
            </w:r>
          </w:p>
        </w:tc>
        <w:tc>
          <w:tcPr>
            <w:tcW w:w="2642" w:type="dxa"/>
            <w:tcBorders>
              <w:top w:val="single" w:sz="4" w:space="0" w:color="auto"/>
              <w:left w:val="single" w:sz="4" w:space="0" w:color="auto"/>
              <w:bottom w:val="single" w:sz="4" w:space="0" w:color="auto"/>
              <w:right w:val="nil"/>
            </w:tcBorders>
            <w:vAlign w:val="center"/>
          </w:tcPr>
          <w:p w:rsidR="00AC7711" w:rsidRDefault="00DF6DB4">
            <w:pPr>
              <w:adjustRightInd w:val="0"/>
              <w:snapToGrid w:val="0"/>
              <w:spacing w:line="360" w:lineRule="auto"/>
              <w:jc w:val="center"/>
              <w:rPr>
                <w:szCs w:val="21"/>
              </w:rPr>
            </w:pPr>
            <w:r>
              <w:rPr>
                <w:rFonts w:hint="eastAsia"/>
                <w:szCs w:val="21"/>
              </w:rPr>
              <w:t>≥</w:t>
            </w:r>
            <w:r>
              <w:rPr>
                <w:rFonts w:hint="eastAsia"/>
                <w:szCs w:val="21"/>
              </w:rPr>
              <w:t>12.0</w:t>
            </w:r>
          </w:p>
        </w:tc>
      </w:tr>
      <w:tr w:rsidR="00AC7711">
        <w:trPr>
          <w:trHeight w:val="400"/>
          <w:jc w:val="center"/>
        </w:trPr>
        <w:tc>
          <w:tcPr>
            <w:tcW w:w="2467" w:type="dxa"/>
            <w:tcBorders>
              <w:top w:val="single" w:sz="4" w:space="0" w:color="auto"/>
              <w:left w:val="nil"/>
              <w:bottom w:val="single" w:sz="4" w:space="0" w:color="auto"/>
              <w:right w:val="single" w:sz="4" w:space="0" w:color="auto"/>
            </w:tcBorders>
            <w:vAlign w:val="center"/>
          </w:tcPr>
          <w:p w:rsidR="00AC7711" w:rsidRDefault="00DF6DB4">
            <w:pPr>
              <w:adjustRightInd w:val="0"/>
              <w:snapToGrid w:val="0"/>
              <w:spacing w:line="360" w:lineRule="auto"/>
              <w:jc w:val="center"/>
              <w:rPr>
                <w:szCs w:val="21"/>
              </w:rPr>
            </w:pPr>
            <w:r>
              <w:rPr>
                <w:rFonts w:hint="eastAsia"/>
                <w:szCs w:val="21"/>
              </w:rPr>
              <w:t>2</w:t>
            </w:r>
          </w:p>
        </w:tc>
        <w:tc>
          <w:tcPr>
            <w:tcW w:w="2642" w:type="dxa"/>
            <w:tcBorders>
              <w:top w:val="single" w:sz="4" w:space="0" w:color="auto"/>
              <w:left w:val="single" w:sz="4" w:space="0" w:color="auto"/>
              <w:bottom w:val="single" w:sz="4" w:space="0" w:color="auto"/>
              <w:right w:val="nil"/>
            </w:tcBorders>
            <w:vAlign w:val="center"/>
          </w:tcPr>
          <w:p w:rsidR="00AC7711" w:rsidRDefault="00DF6DB4">
            <w:pPr>
              <w:adjustRightInd w:val="0"/>
              <w:snapToGrid w:val="0"/>
              <w:spacing w:line="360" w:lineRule="auto"/>
              <w:jc w:val="center"/>
              <w:rPr>
                <w:szCs w:val="21"/>
              </w:rPr>
            </w:pPr>
            <w:r>
              <w:rPr>
                <w:rFonts w:hint="eastAsia"/>
                <w:szCs w:val="21"/>
              </w:rPr>
              <w:t>≥</w:t>
            </w:r>
            <w:r>
              <w:rPr>
                <w:rFonts w:hint="eastAsia"/>
                <w:szCs w:val="21"/>
              </w:rPr>
              <w:t>7.0</w:t>
            </w:r>
          </w:p>
        </w:tc>
      </w:tr>
      <w:tr w:rsidR="00AC7711">
        <w:trPr>
          <w:trHeight w:val="400"/>
          <w:jc w:val="center"/>
        </w:trPr>
        <w:tc>
          <w:tcPr>
            <w:tcW w:w="2467" w:type="dxa"/>
            <w:tcBorders>
              <w:top w:val="single" w:sz="4" w:space="0" w:color="auto"/>
              <w:left w:val="nil"/>
              <w:bottom w:val="single" w:sz="4" w:space="0" w:color="auto"/>
              <w:right w:val="single" w:sz="4" w:space="0" w:color="auto"/>
            </w:tcBorders>
            <w:vAlign w:val="center"/>
          </w:tcPr>
          <w:p w:rsidR="00AC7711" w:rsidRDefault="00DF6DB4">
            <w:pPr>
              <w:adjustRightInd w:val="0"/>
              <w:snapToGrid w:val="0"/>
              <w:spacing w:line="360" w:lineRule="auto"/>
              <w:jc w:val="center"/>
              <w:rPr>
                <w:szCs w:val="21"/>
              </w:rPr>
            </w:pPr>
            <w:r>
              <w:rPr>
                <w:rFonts w:hint="eastAsia"/>
                <w:szCs w:val="21"/>
              </w:rPr>
              <w:t>3*</w:t>
            </w:r>
          </w:p>
        </w:tc>
        <w:tc>
          <w:tcPr>
            <w:tcW w:w="2642" w:type="dxa"/>
            <w:tcBorders>
              <w:top w:val="single" w:sz="4" w:space="0" w:color="auto"/>
              <w:left w:val="single" w:sz="4" w:space="0" w:color="auto"/>
              <w:bottom w:val="single" w:sz="4" w:space="0" w:color="auto"/>
              <w:right w:val="nil"/>
            </w:tcBorders>
            <w:vAlign w:val="center"/>
          </w:tcPr>
          <w:p w:rsidR="00AC7711" w:rsidRDefault="00DF6DB4">
            <w:pPr>
              <w:adjustRightInd w:val="0"/>
              <w:snapToGrid w:val="0"/>
              <w:spacing w:line="360" w:lineRule="auto"/>
              <w:jc w:val="center"/>
              <w:rPr>
                <w:szCs w:val="21"/>
              </w:rPr>
            </w:pPr>
            <w:r>
              <w:rPr>
                <w:rFonts w:hint="eastAsia"/>
                <w:szCs w:val="21"/>
              </w:rPr>
              <w:t>≥</w:t>
            </w:r>
            <w:r>
              <w:rPr>
                <w:rFonts w:hint="eastAsia"/>
                <w:szCs w:val="21"/>
              </w:rPr>
              <w:t>3.0</w:t>
            </w:r>
          </w:p>
        </w:tc>
      </w:tr>
    </w:tbl>
    <w:p w:rsidR="00AC7711" w:rsidRDefault="00DF6DB4">
      <w:pPr>
        <w:adjustRightInd w:val="0"/>
        <w:snapToGrid w:val="0"/>
        <w:spacing w:line="360" w:lineRule="auto"/>
        <w:ind w:firstLineChars="200" w:firstLine="420"/>
        <w:rPr>
          <w:rFonts w:cs="宋体"/>
          <w:szCs w:val="21"/>
        </w:rPr>
      </w:pPr>
      <w:r>
        <w:rPr>
          <w:rFonts w:cs="宋体" w:hint="eastAsia"/>
          <w:szCs w:val="21"/>
        </w:rPr>
        <w:t>注：</w:t>
      </w:r>
      <w:r>
        <w:rPr>
          <w:rFonts w:cs="宋体" w:hint="eastAsia"/>
          <w:szCs w:val="21"/>
        </w:rPr>
        <w:t>1</w:t>
      </w:r>
      <w:r>
        <w:rPr>
          <w:rFonts w:cs="宋体" w:hint="eastAsia"/>
          <w:szCs w:val="21"/>
        </w:rPr>
        <w:t>、复合膜则需取本品适量，裁取成</w:t>
      </w:r>
      <w:r>
        <w:rPr>
          <w:rFonts w:cs="宋体" w:hint="eastAsia"/>
          <w:szCs w:val="21"/>
        </w:rPr>
        <w:t>100mm</w:t>
      </w:r>
      <w:r>
        <w:rPr>
          <w:rFonts w:cs="宋体" w:hint="eastAsia"/>
          <w:szCs w:val="21"/>
        </w:rPr>
        <w:t>×</w:t>
      </w:r>
      <w:r>
        <w:rPr>
          <w:rFonts w:cs="宋体" w:hint="eastAsia"/>
          <w:szCs w:val="21"/>
        </w:rPr>
        <w:t>100mm</w:t>
      </w:r>
      <w:r>
        <w:rPr>
          <w:rFonts w:cs="宋体" w:hint="eastAsia"/>
          <w:szCs w:val="21"/>
        </w:rPr>
        <w:t>试样</w:t>
      </w:r>
      <w:r>
        <w:rPr>
          <w:rFonts w:cs="宋体" w:hint="eastAsia"/>
          <w:szCs w:val="21"/>
        </w:rPr>
        <w:t>4</w:t>
      </w:r>
      <w:r>
        <w:rPr>
          <w:rFonts w:cs="宋体" w:hint="eastAsia"/>
          <w:szCs w:val="21"/>
        </w:rPr>
        <w:t>片，将任意</w:t>
      </w:r>
      <w:r>
        <w:rPr>
          <w:rFonts w:cs="宋体" w:hint="eastAsia"/>
          <w:szCs w:val="21"/>
        </w:rPr>
        <w:t>2</w:t>
      </w:r>
      <w:r>
        <w:rPr>
          <w:rFonts w:cs="宋体" w:hint="eastAsia"/>
          <w:szCs w:val="21"/>
        </w:rPr>
        <w:t>个试片热合面叠合，分别在纵向和横向热合。热合条件为：（</w:t>
      </w:r>
      <w:r>
        <w:rPr>
          <w:rFonts w:cs="宋体" w:hint="eastAsia"/>
          <w:szCs w:val="21"/>
        </w:rPr>
        <w:t>155</w:t>
      </w:r>
      <w:r>
        <w:rPr>
          <w:rFonts w:cs="宋体" w:hint="eastAsia"/>
          <w:szCs w:val="21"/>
        </w:rPr>
        <w:t>±</w:t>
      </w:r>
      <w:r>
        <w:rPr>
          <w:rFonts w:cs="宋体" w:hint="eastAsia"/>
          <w:szCs w:val="21"/>
        </w:rPr>
        <w:t>5</w:t>
      </w:r>
      <w:r>
        <w:rPr>
          <w:rFonts w:cs="宋体" w:hint="eastAsia"/>
          <w:szCs w:val="21"/>
        </w:rPr>
        <w:t>）℃、</w:t>
      </w:r>
      <w:r>
        <w:rPr>
          <w:rFonts w:cs="宋体" w:hint="eastAsia"/>
          <w:szCs w:val="21"/>
        </w:rPr>
        <w:t>0.2MPa</w:t>
      </w:r>
      <w:r>
        <w:rPr>
          <w:rFonts w:cs="宋体" w:hint="eastAsia"/>
          <w:szCs w:val="21"/>
        </w:rPr>
        <w:t>、</w:t>
      </w:r>
      <w:r>
        <w:rPr>
          <w:rFonts w:cs="宋体" w:hint="eastAsia"/>
          <w:szCs w:val="21"/>
        </w:rPr>
        <w:t>1s</w:t>
      </w:r>
      <w:r>
        <w:rPr>
          <w:rFonts w:cs="宋体" w:hint="eastAsia"/>
          <w:szCs w:val="21"/>
        </w:rPr>
        <w:t>，或者根据产品、工艺、生产设备的特性自定热合条件；</w:t>
      </w:r>
    </w:p>
    <w:p w:rsidR="00AC7711" w:rsidRDefault="00DF6DB4">
      <w:pPr>
        <w:adjustRightInd w:val="0"/>
        <w:snapToGrid w:val="0"/>
        <w:spacing w:line="360" w:lineRule="auto"/>
        <w:ind w:firstLineChars="200" w:firstLine="420"/>
        <w:rPr>
          <w:rFonts w:cs="宋体"/>
          <w:szCs w:val="21"/>
        </w:rPr>
      </w:pPr>
      <w:r>
        <w:rPr>
          <w:rFonts w:cs="宋体" w:hint="eastAsia"/>
          <w:szCs w:val="21"/>
        </w:rPr>
        <w:t>2</w:t>
      </w:r>
      <w:r>
        <w:rPr>
          <w:rFonts w:cs="宋体" w:hint="eastAsia"/>
          <w:szCs w:val="21"/>
        </w:rPr>
        <w:t>、</w:t>
      </w:r>
      <w:r>
        <w:rPr>
          <w:rFonts w:cs="宋体" w:hint="eastAsia"/>
          <w:szCs w:val="21"/>
        </w:rPr>
        <w:t>*</w:t>
      </w:r>
      <w:r>
        <w:rPr>
          <w:rFonts w:cs="宋体" w:hint="eastAsia"/>
          <w:szCs w:val="21"/>
        </w:rPr>
        <w:t>适用于</w:t>
      </w:r>
      <w:bookmarkStart w:id="6" w:name="_Hlk119676521"/>
      <w:r>
        <w:rPr>
          <w:rFonts w:cs="宋体" w:hint="eastAsia"/>
          <w:szCs w:val="21"/>
        </w:rPr>
        <w:t>易揭类型的复合膜</w:t>
      </w:r>
      <w:r>
        <w:rPr>
          <w:rFonts w:cs="宋体" w:hint="eastAsia"/>
          <w:szCs w:val="21"/>
        </w:rPr>
        <w:t>/</w:t>
      </w:r>
      <w:r>
        <w:rPr>
          <w:rFonts w:cs="宋体" w:hint="eastAsia"/>
          <w:szCs w:val="21"/>
        </w:rPr>
        <w:t>袋</w:t>
      </w:r>
      <w:bookmarkEnd w:id="6"/>
      <w:r>
        <w:rPr>
          <w:rFonts w:cs="宋体" w:hint="eastAsia"/>
          <w:szCs w:val="21"/>
        </w:rPr>
        <w:t>。</w:t>
      </w:r>
    </w:p>
    <w:p w:rsidR="00AC7711" w:rsidRDefault="00DF6DB4">
      <w:pPr>
        <w:adjustRightInd w:val="0"/>
        <w:snapToGrid w:val="0"/>
        <w:spacing w:line="360" w:lineRule="auto"/>
        <w:rPr>
          <w:b/>
          <w:szCs w:val="21"/>
        </w:rPr>
      </w:pPr>
      <w:r>
        <w:rPr>
          <w:rFonts w:hint="eastAsia"/>
          <w:b/>
          <w:szCs w:val="21"/>
        </w:rPr>
        <w:t>3</w:t>
      </w:r>
      <w:r>
        <w:rPr>
          <w:b/>
          <w:szCs w:val="21"/>
        </w:rPr>
        <w:t>.</w:t>
      </w:r>
      <w:r>
        <w:rPr>
          <w:rFonts w:hint="eastAsia"/>
          <w:b/>
          <w:szCs w:val="21"/>
        </w:rPr>
        <w:t>4</w:t>
      </w:r>
      <w:r>
        <w:rPr>
          <w:rFonts w:hint="eastAsia"/>
          <w:b/>
          <w:szCs w:val="21"/>
        </w:rPr>
        <w:t>溶剂残留量</w:t>
      </w:r>
    </w:p>
    <w:p w:rsidR="00AC7711" w:rsidRDefault="00DF6DB4">
      <w:pPr>
        <w:adjustRightInd w:val="0"/>
        <w:snapToGrid w:val="0"/>
        <w:spacing w:line="360" w:lineRule="auto"/>
        <w:ind w:firstLineChars="200" w:firstLine="420"/>
        <w:rPr>
          <w:szCs w:val="21"/>
        </w:rPr>
      </w:pPr>
      <w:r>
        <w:rPr>
          <w:rFonts w:hint="eastAsia"/>
          <w:szCs w:val="21"/>
        </w:rPr>
        <w:t>取样品适量，裁取内表面积</w:t>
      </w:r>
      <w:r>
        <w:rPr>
          <w:rFonts w:hint="eastAsia"/>
          <w:szCs w:val="21"/>
        </w:rPr>
        <w:t>0.02m</w:t>
      </w:r>
      <w:r>
        <w:rPr>
          <w:rFonts w:hint="eastAsia"/>
          <w:szCs w:val="21"/>
          <w:vertAlign w:val="superscript"/>
        </w:rPr>
        <w:t>2</w:t>
      </w:r>
      <w:r>
        <w:rPr>
          <w:rFonts w:hint="eastAsia"/>
          <w:szCs w:val="21"/>
        </w:rPr>
        <w:t>，照药包材溶剂残留量测定法</w:t>
      </w:r>
      <w:r>
        <w:rPr>
          <w:szCs w:val="21"/>
        </w:rPr>
        <w:t>（通则</w:t>
      </w:r>
      <w:r>
        <w:rPr>
          <w:rFonts w:hint="eastAsia"/>
          <w:szCs w:val="21"/>
        </w:rPr>
        <w:t>4207</w:t>
      </w:r>
      <w:r>
        <w:rPr>
          <w:szCs w:val="21"/>
        </w:rPr>
        <w:t>）</w:t>
      </w:r>
      <w:r>
        <w:rPr>
          <w:rFonts w:hint="eastAsia"/>
          <w:szCs w:val="21"/>
        </w:rPr>
        <w:t>测定，</w:t>
      </w:r>
      <w:r>
        <w:rPr>
          <w:szCs w:val="21"/>
        </w:rPr>
        <w:t>溶剂残留总量不得过</w:t>
      </w:r>
      <w:r>
        <w:rPr>
          <w:szCs w:val="21"/>
        </w:rPr>
        <w:t>5.0mg/m</w:t>
      </w:r>
      <w:r>
        <w:rPr>
          <w:szCs w:val="21"/>
          <w:vertAlign w:val="superscript"/>
        </w:rPr>
        <w:t>2</w:t>
      </w:r>
      <w:r>
        <w:rPr>
          <w:szCs w:val="21"/>
        </w:rPr>
        <w:t>，其中苯及苯类每个溶剂残留量均不得检出</w:t>
      </w:r>
      <w:r>
        <w:rPr>
          <w:rFonts w:hint="eastAsia"/>
          <w:szCs w:val="21"/>
        </w:rPr>
        <w:t>（检出限为</w:t>
      </w:r>
      <w:r>
        <w:rPr>
          <w:rFonts w:hint="eastAsia"/>
          <w:szCs w:val="21"/>
        </w:rPr>
        <w:t>0.01mg/m</w:t>
      </w:r>
      <w:r>
        <w:rPr>
          <w:rFonts w:hint="eastAsia"/>
          <w:szCs w:val="21"/>
          <w:vertAlign w:val="superscript"/>
        </w:rPr>
        <w:t>2</w:t>
      </w:r>
      <w:r>
        <w:rPr>
          <w:rFonts w:hint="eastAsia"/>
          <w:szCs w:val="21"/>
        </w:rPr>
        <w:t>）</w:t>
      </w:r>
      <w:r>
        <w:rPr>
          <w:szCs w:val="21"/>
        </w:rPr>
        <w:t>。</w:t>
      </w:r>
    </w:p>
    <w:p w:rsidR="00AC7711" w:rsidRDefault="00DF6DB4">
      <w:pPr>
        <w:adjustRightInd w:val="0"/>
        <w:snapToGrid w:val="0"/>
        <w:spacing w:line="360" w:lineRule="auto"/>
        <w:rPr>
          <w:b/>
          <w:bCs/>
          <w:szCs w:val="21"/>
        </w:rPr>
      </w:pPr>
      <w:r>
        <w:rPr>
          <w:rFonts w:hint="eastAsia"/>
          <w:b/>
          <w:szCs w:val="21"/>
        </w:rPr>
        <w:t>4</w:t>
      </w:r>
      <w:bookmarkStart w:id="7" w:name="_Hlk106659241"/>
      <w:r>
        <w:rPr>
          <w:rFonts w:cs="宋体" w:hint="eastAsia"/>
          <w:b/>
          <w:bCs/>
          <w:szCs w:val="21"/>
        </w:rPr>
        <w:t>包装与贮藏</w:t>
      </w:r>
      <w:bookmarkEnd w:id="7"/>
    </w:p>
    <w:p w:rsidR="00AC7711" w:rsidRDefault="00DF6DB4">
      <w:pPr>
        <w:autoSpaceDE w:val="0"/>
        <w:autoSpaceDN w:val="0"/>
        <w:adjustRightInd w:val="0"/>
        <w:snapToGrid w:val="0"/>
        <w:spacing w:line="360" w:lineRule="auto"/>
        <w:ind w:firstLineChars="200" w:firstLine="420"/>
        <w:rPr>
          <w:szCs w:val="21"/>
        </w:rPr>
      </w:pPr>
      <w:r>
        <w:rPr>
          <w:rFonts w:cs="宋体" w:hint="eastAsia"/>
          <w:szCs w:val="21"/>
        </w:rPr>
        <w:t>包装用袋应符合药用要求，应密封，保存于干燥、清洁处。</w:t>
      </w:r>
    </w:p>
    <w:p w:rsidR="00AC7711" w:rsidRDefault="00AC7711">
      <w:pPr>
        <w:adjustRightInd w:val="0"/>
        <w:snapToGrid w:val="0"/>
        <w:spacing w:line="360" w:lineRule="auto"/>
        <w:ind w:firstLineChars="200" w:firstLine="420"/>
        <w:rPr>
          <w:szCs w:val="21"/>
        </w:rPr>
      </w:pPr>
    </w:p>
    <w:p w:rsidR="00AC7711" w:rsidRDefault="00DF6DB4">
      <w:pPr>
        <w:adjustRightInd w:val="0"/>
        <w:snapToGrid w:val="0"/>
        <w:spacing w:line="360" w:lineRule="auto"/>
        <w:ind w:firstLineChars="200" w:firstLine="420"/>
        <w:rPr>
          <w:rFonts w:ascii="宋体" w:hAnsi="宋体" w:cs="宋体"/>
          <w:color w:val="000000" w:themeColor="text1"/>
          <w:szCs w:val="21"/>
        </w:rPr>
      </w:pPr>
      <w:r>
        <w:rPr>
          <w:rFonts w:hint="eastAsia"/>
          <w:szCs w:val="21"/>
        </w:rPr>
        <w:t>【</w:t>
      </w:r>
      <w:bookmarkStart w:id="8" w:name="_Hlk106659274"/>
      <w:r>
        <w:rPr>
          <w:rFonts w:hint="eastAsia"/>
          <w:b/>
          <w:bCs/>
          <w:szCs w:val="21"/>
        </w:rPr>
        <w:t>附注</w:t>
      </w:r>
      <w:bookmarkEnd w:id="8"/>
      <w:r>
        <w:rPr>
          <w:rFonts w:hint="eastAsia"/>
          <w:szCs w:val="21"/>
        </w:rPr>
        <w:t>】</w:t>
      </w:r>
      <w:r>
        <w:rPr>
          <w:rFonts w:ascii="宋体" w:hAnsi="宋体" w:cs="宋体" w:hint="eastAsia"/>
          <w:szCs w:val="21"/>
        </w:rPr>
        <w:t>1、</w:t>
      </w:r>
      <w:bookmarkStart w:id="9" w:name="_Hlk106660649"/>
      <w:r>
        <w:rPr>
          <w:rFonts w:ascii="宋体" w:hAnsi="宋体" w:cs="宋体" w:hint="eastAsia"/>
          <w:szCs w:val="21"/>
        </w:rPr>
        <w:t>复合膜按照材质结构组成可分为五类，有纸-塑、塑-塑、塑-镀铝、纸或塑-铝</w:t>
      </w:r>
      <w:r>
        <w:rPr>
          <w:rFonts w:ascii="宋体" w:hAnsi="宋体" w:cs="宋体" w:hint="eastAsia"/>
          <w:color w:val="000000" w:themeColor="text1"/>
          <w:szCs w:val="21"/>
        </w:rPr>
        <w:t>箔、多层塑料-铝箔等</w:t>
      </w:r>
      <w:bookmarkEnd w:id="9"/>
      <w:r>
        <w:rPr>
          <w:rFonts w:ascii="宋体" w:hAnsi="宋体" w:cs="宋体" w:hint="eastAsia"/>
          <w:color w:val="000000" w:themeColor="text1"/>
          <w:szCs w:val="21"/>
        </w:rPr>
        <w:t>，见附表A。</w:t>
      </w:r>
    </w:p>
    <w:p w:rsidR="00AC7711" w:rsidRDefault="00DF6DB4">
      <w:pPr>
        <w:adjustRightInd w:val="0"/>
        <w:snapToGrid w:val="0"/>
        <w:spacing w:line="360" w:lineRule="auto"/>
        <w:jc w:val="center"/>
        <w:rPr>
          <w:rFonts w:cs="宋体"/>
          <w:color w:val="000000" w:themeColor="text1"/>
          <w:szCs w:val="21"/>
        </w:rPr>
      </w:pPr>
      <w:r>
        <w:rPr>
          <w:rFonts w:hint="eastAsia"/>
          <w:color w:val="000000" w:themeColor="text1"/>
          <w:szCs w:val="21"/>
        </w:rPr>
        <w:t>附表</w:t>
      </w:r>
      <w:r>
        <w:rPr>
          <w:rFonts w:hint="eastAsia"/>
          <w:color w:val="000000" w:themeColor="text1"/>
          <w:szCs w:val="21"/>
        </w:rPr>
        <w:t xml:space="preserve">A </w:t>
      </w:r>
      <w:r>
        <w:rPr>
          <w:rFonts w:cs="宋体" w:hint="eastAsia"/>
          <w:color w:val="000000" w:themeColor="text1"/>
          <w:szCs w:val="21"/>
        </w:rPr>
        <w:t>复合膜按材质结构分类</w:t>
      </w:r>
    </w:p>
    <w:tbl>
      <w:tblPr>
        <w:tblStyle w:val="af"/>
        <w:tblW w:w="7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5918"/>
      </w:tblGrid>
      <w:tr w:rsidR="00AC7711">
        <w:trPr>
          <w:trHeight w:val="366"/>
          <w:jc w:val="center"/>
        </w:trPr>
        <w:tc>
          <w:tcPr>
            <w:tcW w:w="1565" w:type="dxa"/>
            <w:tcBorders>
              <w:top w:val="single" w:sz="4" w:space="0" w:color="auto"/>
              <w:left w:val="nil"/>
              <w:bottom w:val="single" w:sz="4" w:space="0" w:color="auto"/>
              <w:right w:val="single" w:sz="4" w:space="0" w:color="auto"/>
            </w:tcBorders>
            <w:shd w:val="clear" w:color="auto" w:fill="auto"/>
            <w:vAlign w:val="center"/>
          </w:tcPr>
          <w:p w:rsidR="00AF4901" w:rsidRDefault="00DF6DB4">
            <w:pPr>
              <w:adjustRightInd w:val="0"/>
              <w:snapToGrid w:val="0"/>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材质</w:t>
            </w:r>
          </w:p>
        </w:tc>
        <w:tc>
          <w:tcPr>
            <w:tcW w:w="5918" w:type="dxa"/>
            <w:tcBorders>
              <w:top w:val="single" w:sz="4" w:space="0" w:color="auto"/>
              <w:left w:val="single" w:sz="4" w:space="0" w:color="auto"/>
              <w:bottom w:val="single" w:sz="4" w:space="0" w:color="auto"/>
              <w:right w:val="nil"/>
            </w:tcBorders>
            <w:shd w:val="clear" w:color="auto" w:fill="auto"/>
            <w:vAlign w:val="center"/>
          </w:tcPr>
          <w:p w:rsidR="00AF4901" w:rsidRDefault="00DF6DB4">
            <w:pPr>
              <w:adjustRightInd w:val="0"/>
              <w:snapToGrid w:val="0"/>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典型示例</w:t>
            </w:r>
          </w:p>
        </w:tc>
      </w:tr>
      <w:tr w:rsidR="00AC7711">
        <w:trPr>
          <w:trHeight w:val="366"/>
          <w:jc w:val="center"/>
        </w:trPr>
        <w:tc>
          <w:tcPr>
            <w:tcW w:w="1565" w:type="dxa"/>
            <w:tcBorders>
              <w:top w:val="single" w:sz="4" w:space="0" w:color="auto"/>
              <w:left w:val="nil"/>
              <w:bottom w:val="single" w:sz="4" w:space="0" w:color="auto"/>
              <w:right w:val="single" w:sz="4" w:space="0" w:color="auto"/>
            </w:tcBorders>
            <w:shd w:val="clear" w:color="auto" w:fill="auto"/>
            <w:vAlign w:val="center"/>
          </w:tcPr>
          <w:p w:rsidR="00AF4901" w:rsidRDefault="00DF6DB4">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纸、塑料</w:t>
            </w:r>
          </w:p>
        </w:tc>
        <w:tc>
          <w:tcPr>
            <w:tcW w:w="5918" w:type="dxa"/>
            <w:tcBorders>
              <w:top w:val="single" w:sz="4" w:space="0" w:color="auto"/>
              <w:left w:val="single" w:sz="4" w:space="0" w:color="auto"/>
              <w:bottom w:val="single" w:sz="4" w:space="0" w:color="auto"/>
              <w:right w:val="nil"/>
            </w:tcBorders>
            <w:shd w:val="clear" w:color="auto" w:fill="auto"/>
            <w:vAlign w:val="center"/>
          </w:tcPr>
          <w:p w:rsidR="00AC7711" w:rsidRDefault="00DF6DB4">
            <w:p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纸或PT/粘合层/PE或EVA、CPP、或其他树脂</w:t>
            </w:r>
          </w:p>
        </w:tc>
      </w:tr>
      <w:tr w:rsidR="00AC7711">
        <w:trPr>
          <w:trHeight w:val="366"/>
          <w:jc w:val="center"/>
        </w:trPr>
        <w:tc>
          <w:tcPr>
            <w:tcW w:w="1565" w:type="dxa"/>
            <w:tcBorders>
              <w:top w:val="single" w:sz="4" w:space="0" w:color="auto"/>
              <w:left w:val="nil"/>
              <w:bottom w:val="single" w:sz="4" w:space="0" w:color="auto"/>
              <w:right w:val="single" w:sz="4" w:space="0" w:color="auto"/>
            </w:tcBorders>
            <w:shd w:val="clear" w:color="auto" w:fill="auto"/>
            <w:vAlign w:val="center"/>
          </w:tcPr>
          <w:p w:rsidR="00AF4901" w:rsidRDefault="00DF6DB4">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塑料</w:t>
            </w:r>
          </w:p>
        </w:tc>
        <w:tc>
          <w:tcPr>
            <w:tcW w:w="5918" w:type="dxa"/>
            <w:tcBorders>
              <w:top w:val="single" w:sz="4" w:space="0" w:color="auto"/>
              <w:left w:val="single" w:sz="4" w:space="0" w:color="auto"/>
              <w:bottom w:val="single" w:sz="4" w:space="0" w:color="auto"/>
              <w:right w:val="nil"/>
            </w:tcBorders>
            <w:shd w:val="clear" w:color="auto" w:fill="auto"/>
            <w:vAlign w:val="center"/>
          </w:tcPr>
          <w:p w:rsidR="00AC7711" w:rsidRDefault="00DF6DB4">
            <w:p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BOPET或BOPP、BOPA/粘合层/PE或EVA、CPP</w:t>
            </w:r>
          </w:p>
        </w:tc>
      </w:tr>
      <w:tr w:rsidR="00AC7711">
        <w:trPr>
          <w:trHeight w:val="1029"/>
          <w:jc w:val="center"/>
        </w:trPr>
        <w:tc>
          <w:tcPr>
            <w:tcW w:w="1565" w:type="dxa"/>
            <w:tcBorders>
              <w:top w:val="single" w:sz="4" w:space="0" w:color="auto"/>
              <w:left w:val="nil"/>
              <w:bottom w:val="single" w:sz="4" w:space="0" w:color="auto"/>
              <w:right w:val="single" w:sz="4" w:space="0" w:color="auto"/>
            </w:tcBorders>
            <w:shd w:val="clear" w:color="auto" w:fill="auto"/>
            <w:vAlign w:val="center"/>
          </w:tcPr>
          <w:p w:rsidR="00AF4901" w:rsidRDefault="00DF6DB4">
            <w:pPr>
              <w:adjustRightInd w:val="0"/>
              <w:snapToGrid w:val="0"/>
              <w:spacing w:line="360" w:lineRule="auto"/>
              <w:jc w:val="center"/>
              <w:rPr>
                <w:rFonts w:ascii="宋体" w:hAnsi="宋体" w:cs="宋体"/>
                <w:color w:val="000000" w:themeColor="text1"/>
                <w:sz w:val="18"/>
                <w:szCs w:val="21"/>
              </w:rPr>
            </w:pPr>
            <w:r>
              <w:rPr>
                <w:rFonts w:ascii="宋体" w:hAnsi="宋体" w:cs="宋体" w:hint="eastAsia"/>
                <w:color w:val="000000" w:themeColor="text1"/>
                <w:szCs w:val="21"/>
              </w:rPr>
              <w:t>塑料、镀铝膜</w:t>
            </w:r>
          </w:p>
        </w:tc>
        <w:tc>
          <w:tcPr>
            <w:tcW w:w="5918" w:type="dxa"/>
            <w:tcBorders>
              <w:top w:val="single" w:sz="4" w:space="0" w:color="auto"/>
              <w:left w:val="single" w:sz="4" w:space="0" w:color="auto"/>
              <w:bottom w:val="single" w:sz="4" w:space="0" w:color="auto"/>
              <w:right w:val="nil"/>
            </w:tcBorders>
            <w:shd w:val="clear" w:color="auto" w:fill="auto"/>
            <w:vAlign w:val="center"/>
          </w:tcPr>
          <w:p w:rsidR="00AC7711" w:rsidRDefault="00DF6DB4">
            <w:p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BOPET或BOPP/粘合层/镀铝CPP</w:t>
            </w:r>
          </w:p>
          <w:p w:rsidR="00AC7711" w:rsidRDefault="00DF6DB4">
            <w:p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BOPET或BOPP/粘合层/镀铝BOPET/粘合层/PE或EVA、CPP、EMA、EAA、离子型聚合物</w:t>
            </w:r>
          </w:p>
        </w:tc>
      </w:tr>
      <w:tr w:rsidR="00AC7711">
        <w:trPr>
          <w:trHeight w:val="686"/>
          <w:jc w:val="center"/>
        </w:trPr>
        <w:tc>
          <w:tcPr>
            <w:tcW w:w="1565" w:type="dxa"/>
            <w:tcBorders>
              <w:top w:val="single" w:sz="4" w:space="0" w:color="auto"/>
              <w:left w:val="nil"/>
              <w:bottom w:val="single" w:sz="4" w:space="0" w:color="auto"/>
              <w:right w:val="single" w:sz="4" w:space="0" w:color="auto"/>
            </w:tcBorders>
            <w:shd w:val="clear" w:color="auto" w:fill="auto"/>
            <w:vAlign w:val="center"/>
          </w:tcPr>
          <w:p w:rsidR="00AF4901" w:rsidRDefault="00DF6DB4">
            <w:pPr>
              <w:adjustRightInd w:val="0"/>
              <w:snapToGrid w:val="0"/>
              <w:spacing w:line="360" w:lineRule="auto"/>
              <w:jc w:val="center"/>
              <w:rPr>
                <w:rFonts w:ascii="宋体" w:hAnsi="宋体" w:cs="宋体"/>
                <w:color w:val="000000" w:themeColor="text1"/>
                <w:sz w:val="18"/>
                <w:szCs w:val="21"/>
              </w:rPr>
            </w:pPr>
            <w:r>
              <w:rPr>
                <w:rFonts w:ascii="宋体" w:hAnsi="宋体" w:cs="宋体" w:hint="eastAsia"/>
                <w:color w:val="000000" w:themeColor="text1"/>
                <w:szCs w:val="21"/>
              </w:rPr>
              <w:t>纸、铝箔、塑料</w:t>
            </w:r>
          </w:p>
        </w:tc>
        <w:tc>
          <w:tcPr>
            <w:tcW w:w="5918" w:type="dxa"/>
            <w:tcBorders>
              <w:top w:val="single" w:sz="4" w:space="0" w:color="auto"/>
              <w:left w:val="single" w:sz="4" w:space="0" w:color="auto"/>
              <w:bottom w:val="single" w:sz="4" w:space="0" w:color="auto"/>
              <w:right w:val="nil"/>
            </w:tcBorders>
            <w:shd w:val="clear" w:color="auto" w:fill="auto"/>
            <w:vAlign w:val="center"/>
          </w:tcPr>
          <w:p w:rsidR="00AC7711" w:rsidRDefault="00DF6DB4">
            <w:p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纸或PT/粘合层/铝箔/粘合层/PE或EVA、CPP、EMA、EAA、离子型聚合物</w:t>
            </w:r>
          </w:p>
          <w:p w:rsidR="00AC7711" w:rsidRDefault="00DF6DB4">
            <w:p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涂层/铝箔/粘合层/PE或CPP、EVA、EMA、EAA、离子型聚合物</w:t>
            </w:r>
          </w:p>
        </w:tc>
      </w:tr>
      <w:tr w:rsidR="00AC7711">
        <w:trPr>
          <w:trHeight w:val="732"/>
          <w:jc w:val="center"/>
        </w:trPr>
        <w:tc>
          <w:tcPr>
            <w:tcW w:w="1565" w:type="dxa"/>
            <w:tcBorders>
              <w:top w:val="single" w:sz="4" w:space="0" w:color="auto"/>
              <w:left w:val="nil"/>
              <w:bottom w:val="single" w:sz="4" w:space="0" w:color="auto"/>
              <w:right w:val="single" w:sz="4" w:space="0" w:color="auto"/>
            </w:tcBorders>
            <w:shd w:val="clear" w:color="auto" w:fill="auto"/>
            <w:vAlign w:val="center"/>
          </w:tcPr>
          <w:p w:rsidR="00AC7711" w:rsidRDefault="00DF6DB4">
            <w:p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塑料（非单层）、铝箔</w:t>
            </w:r>
          </w:p>
        </w:tc>
        <w:tc>
          <w:tcPr>
            <w:tcW w:w="5918" w:type="dxa"/>
            <w:tcBorders>
              <w:top w:val="single" w:sz="4" w:space="0" w:color="auto"/>
              <w:left w:val="single" w:sz="4" w:space="0" w:color="auto"/>
              <w:bottom w:val="single" w:sz="4" w:space="0" w:color="auto"/>
              <w:right w:val="nil"/>
            </w:tcBorders>
            <w:shd w:val="clear" w:color="auto" w:fill="auto"/>
            <w:vAlign w:val="center"/>
          </w:tcPr>
          <w:p w:rsidR="00AC7711" w:rsidRDefault="00DF6DB4">
            <w:p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BOPET或BOPP、BOPA/粘合层/铝箔/粘合层/PE或CPP、EVA、EMA、EAA、PVC、离子型聚合物</w:t>
            </w:r>
          </w:p>
        </w:tc>
      </w:tr>
    </w:tbl>
    <w:p w:rsidR="00AC7711" w:rsidRDefault="00DF6DB4">
      <w:pPr>
        <w:widowControl/>
        <w:adjustRightInd w:val="0"/>
        <w:snapToGrid w:val="0"/>
        <w:spacing w:line="360" w:lineRule="auto"/>
        <w:ind w:firstLineChars="200" w:firstLine="420"/>
        <w:rPr>
          <w:color w:val="000000" w:themeColor="text1"/>
          <w:szCs w:val="21"/>
        </w:rPr>
      </w:pPr>
      <w:r>
        <w:rPr>
          <w:rFonts w:cs="宋体" w:hint="eastAsia"/>
          <w:color w:val="000000" w:themeColor="text1"/>
          <w:szCs w:val="21"/>
        </w:rPr>
        <w:t>注</w:t>
      </w:r>
      <w:r>
        <w:rPr>
          <w:color w:val="000000" w:themeColor="text1"/>
          <w:szCs w:val="21"/>
        </w:rPr>
        <w:t xml:space="preserve"> 1</w:t>
      </w:r>
      <w:r>
        <w:rPr>
          <w:rFonts w:hint="eastAsia"/>
          <w:color w:val="000000" w:themeColor="text1"/>
          <w:szCs w:val="21"/>
        </w:rPr>
        <w:t>、</w:t>
      </w:r>
      <w:r>
        <w:rPr>
          <w:rFonts w:cs="宋体" w:hint="eastAsia"/>
          <w:color w:val="000000" w:themeColor="text1"/>
          <w:szCs w:val="21"/>
        </w:rPr>
        <w:t>缩略语对应材质名称见附注</w:t>
      </w:r>
      <w:r>
        <w:rPr>
          <w:rFonts w:cs="宋体" w:hint="eastAsia"/>
          <w:color w:val="000000" w:themeColor="text1"/>
          <w:szCs w:val="21"/>
        </w:rPr>
        <w:t>3</w:t>
      </w:r>
      <w:r>
        <w:rPr>
          <w:rFonts w:cs="宋体" w:hint="eastAsia"/>
          <w:color w:val="000000" w:themeColor="text1"/>
          <w:szCs w:val="21"/>
        </w:rPr>
        <w:t>；</w:t>
      </w:r>
    </w:p>
    <w:p w:rsidR="00AC7711" w:rsidRDefault="00DF6DB4">
      <w:pPr>
        <w:adjustRightInd w:val="0"/>
        <w:snapToGrid w:val="0"/>
        <w:spacing w:line="360" w:lineRule="auto"/>
        <w:ind w:firstLineChars="200" w:firstLine="420"/>
        <w:rPr>
          <w:szCs w:val="21"/>
        </w:rPr>
      </w:pPr>
      <w:r>
        <w:rPr>
          <w:rFonts w:cs="宋体" w:hint="eastAsia"/>
          <w:color w:val="000000" w:themeColor="text1"/>
          <w:szCs w:val="21"/>
        </w:rPr>
        <w:t>注</w:t>
      </w:r>
      <w:r>
        <w:rPr>
          <w:color w:val="000000" w:themeColor="text1"/>
          <w:szCs w:val="21"/>
        </w:rPr>
        <w:t xml:space="preserve"> 2</w:t>
      </w:r>
      <w:r>
        <w:rPr>
          <w:rFonts w:hint="eastAsia"/>
          <w:color w:val="000000" w:themeColor="text1"/>
          <w:szCs w:val="21"/>
        </w:rPr>
        <w:t>、</w:t>
      </w:r>
      <w:r>
        <w:rPr>
          <w:rFonts w:cs="宋体" w:hint="eastAsia"/>
          <w:color w:val="000000" w:themeColor="text1"/>
          <w:szCs w:val="21"/>
        </w:rPr>
        <w:t>复合膜复合方法包括干法复合、湿法复合、无溶剂复合、挤出复合、共挤复合等。</w:t>
      </w:r>
      <w:r>
        <w:rPr>
          <w:rFonts w:cs="宋体" w:hint="eastAsia"/>
          <w:color w:val="000000" w:themeColor="text1"/>
          <w:szCs w:val="21"/>
        </w:rPr>
        <w:lastRenderedPageBreak/>
        <w:t>干法复合、湿法复合和无溶剂复合时，</w:t>
      </w:r>
      <w:r>
        <w:rPr>
          <w:rFonts w:ascii="宋体" w:hAnsi="宋体" w:cs="宋体" w:hint="eastAsia"/>
          <w:color w:val="000000" w:themeColor="text1"/>
          <w:szCs w:val="21"/>
        </w:rPr>
        <w:t>粘</w:t>
      </w:r>
      <w:r>
        <w:rPr>
          <w:rFonts w:cs="宋体" w:hint="eastAsia"/>
          <w:color w:val="000000" w:themeColor="text1"/>
          <w:szCs w:val="21"/>
        </w:rPr>
        <w:t>合层为一般的胶</w:t>
      </w:r>
      <w:r>
        <w:rPr>
          <w:rFonts w:ascii="宋体" w:hAnsi="宋体" w:cs="宋体" w:hint="eastAsia"/>
          <w:color w:val="000000" w:themeColor="text1"/>
          <w:szCs w:val="21"/>
        </w:rPr>
        <w:t>粘</w:t>
      </w:r>
      <w:r>
        <w:rPr>
          <w:rFonts w:cs="宋体" w:hint="eastAsia"/>
          <w:color w:val="000000" w:themeColor="text1"/>
          <w:szCs w:val="21"/>
        </w:rPr>
        <w:t>剂；挤出复合时，</w:t>
      </w:r>
      <w:r>
        <w:rPr>
          <w:rFonts w:ascii="宋体" w:hAnsi="宋体" w:cs="宋体" w:hint="eastAsia"/>
          <w:color w:val="000000" w:themeColor="text1"/>
          <w:szCs w:val="21"/>
        </w:rPr>
        <w:t>粘</w:t>
      </w:r>
      <w:r>
        <w:rPr>
          <w:rFonts w:cs="宋体" w:hint="eastAsia"/>
          <w:color w:val="000000" w:themeColor="text1"/>
          <w:szCs w:val="21"/>
        </w:rPr>
        <w:t>合层为</w:t>
      </w:r>
      <w:r>
        <w:rPr>
          <w:szCs w:val="21"/>
        </w:rPr>
        <w:t>PE</w:t>
      </w:r>
      <w:r>
        <w:rPr>
          <w:rFonts w:cs="宋体" w:hint="eastAsia"/>
          <w:szCs w:val="21"/>
        </w:rPr>
        <w:t>或</w:t>
      </w:r>
      <w:r>
        <w:rPr>
          <w:szCs w:val="21"/>
        </w:rPr>
        <w:t>EVA</w:t>
      </w:r>
      <w:r>
        <w:rPr>
          <w:rFonts w:cs="宋体" w:hint="eastAsia"/>
          <w:szCs w:val="21"/>
        </w:rPr>
        <w:t>、</w:t>
      </w:r>
      <w:r>
        <w:rPr>
          <w:szCs w:val="21"/>
        </w:rPr>
        <w:t>EMA</w:t>
      </w:r>
      <w:r>
        <w:rPr>
          <w:rFonts w:cs="宋体" w:hint="eastAsia"/>
          <w:szCs w:val="21"/>
        </w:rPr>
        <w:t>、</w:t>
      </w:r>
      <w:r>
        <w:rPr>
          <w:szCs w:val="21"/>
        </w:rPr>
        <w:t>EAA</w:t>
      </w:r>
      <w:r>
        <w:rPr>
          <w:rFonts w:cs="宋体" w:hint="eastAsia"/>
          <w:szCs w:val="21"/>
        </w:rPr>
        <w:t>等树脂。</w:t>
      </w:r>
    </w:p>
    <w:p w:rsidR="00AC7711" w:rsidRDefault="00DF6DB4">
      <w:pPr>
        <w:adjustRightInd w:val="0"/>
        <w:snapToGrid w:val="0"/>
        <w:spacing w:line="360" w:lineRule="auto"/>
        <w:ind w:firstLine="420"/>
        <w:rPr>
          <w:szCs w:val="21"/>
        </w:rPr>
      </w:pPr>
      <w:r>
        <w:rPr>
          <w:rFonts w:ascii="宋体" w:hAnsi="宋体" w:cs="宋体" w:hint="eastAsia"/>
          <w:szCs w:val="21"/>
        </w:rPr>
        <w:t>2、在附表</w:t>
      </w:r>
      <w:r>
        <w:rPr>
          <w:rFonts w:hint="eastAsia"/>
          <w:szCs w:val="21"/>
        </w:rPr>
        <w:t>B</w:t>
      </w:r>
      <w:r>
        <w:rPr>
          <w:rFonts w:ascii="宋体" w:hAnsi="宋体" w:cs="宋体" w:hint="eastAsia"/>
          <w:szCs w:val="21"/>
        </w:rPr>
        <w:t>中列出了几种</w:t>
      </w:r>
      <w:bookmarkStart w:id="10" w:name="_Hlk106660760"/>
      <w:r>
        <w:rPr>
          <w:rFonts w:ascii="宋体" w:hAnsi="宋体" w:cs="宋体" w:hint="eastAsia"/>
          <w:szCs w:val="21"/>
        </w:rPr>
        <w:t>常用</w:t>
      </w:r>
      <w:r w:rsidR="003537F3">
        <w:rPr>
          <w:rFonts w:ascii="宋体" w:hAnsi="宋体" w:cs="宋体" w:hint="eastAsia"/>
          <w:szCs w:val="21"/>
        </w:rPr>
        <w:t>口服</w:t>
      </w:r>
      <w:r>
        <w:rPr>
          <w:rFonts w:ascii="宋体" w:hAnsi="宋体" w:cs="宋体" w:hint="eastAsia"/>
          <w:szCs w:val="21"/>
        </w:rPr>
        <w:t>固体</w:t>
      </w:r>
      <w:r w:rsidR="003537F3">
        <w:rPr>
          <w:rFonts w:ascii="宋体" w:hAnsi="宋体" w:cs="宋体" w:hint="eastAsia"/>
          <w:szCs w:val="21"/>
        </w:rPr>
        <w:t>药用</w:t>
      </w:r>
      <w:r>
        <w:rPr>
          <w:rFonts w:ascii="宋体" w:hAnsi="宋体" w:cs="宋体" w:hint="eastAsia"/>
          <w:szCs w:val="21"/>
        </w:rPr>
        <w:t>复合膜品种的阻隔性能试验参数及</w:t>
      </w:r>
      <w:r>
        <w:rPr>
          <w:rFonts w:hint="eastAsia"/>
          <w:szCs w:val="21"/>
        </w:rPr>
        <w:t>性能指标</w:t>
      </w:r>
      <w:bookmarkEnd w:id="10"/>
      <w:r>
        <w:rPr>
          <w:rFonts w:hint="eastAsia"/>
          <w:szCs w:val="21"/>
        </w:rPr>
        <w:t>。</w:t>
      </w:r>
    </w:p>
    <w:p w:rsidR="00AC7711" w:rsidRDefault="00DF6DB4">
      <w:pPr>
        <w:adjustRightInd w:val="0"/>
        <w:snapToGrid w:val="0"/>
        <w:spacing w:line="360" w:lineRule="auto"/>
        <w:jc w:val="center"/>
        <w:rPr>
          <w:szCs w:val="21"/>
        </w:rPr>
      </w:pPr>
      <w:r>
        <w:rPr>
          <w:rFonts w:hint="eastAsia"/>
          <w:szCs w:val="21"/>
        </w:rPr>
        <w:t>附表</w:t>
      </w:r>
      <w:r>
        <w:rPr>
          <w:rFonts w:hint="eastAsia"/>
          <w:szCs w:val="21"/>
        </w:rPr>
        <w:t xml:space="preserve">B </w:t>
      </w:r>
      <w:r>
        <w:rPr>
          <w:rFonts w:hint="eastAsia"/>
          <w:szCs w:val="21"/>
        </w:rPr>
        <w:t>常用结构复合膜阻隔性能试验参数及性能指标</w:t>
      </w:r>
    </w:p>
    <w:tbl>
      <w:tblPr>
        <w:tblW w:w="854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19"/>
        <w:gridCol w:w="1873"/>
        <w:gridCol w:w="1404"/>
        <w:gridCol w:w="1614"/>
        <w:gridCol w:w="1331"/>
        <w:gridCol w:w="1707"/>
      </w:tblGrid>
      <w:tr w:rsidR="00AC7711">
        <w:trPr>
          <w:trHeight w:val="381"/>
        </w:trPr>
        <w:tc>
          <w:tcPr>
            <w:tcW w:w="619" w:type="dxa"/>
            <w:vMerge w:val="restart"/>
            <w:tcBorders>
              <w:right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序号</w:t>
            </w:r>
          </w:p>
        </w:tc>
        <w:tc>
          <w:tcPr>
            <w:tcW w:w="1873" w:type="dxa"/>
            <w:vMerge w:val="restart"/>
            <w:tcBorders>
              <w:left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品种实例</w:t>
            </w:r>
          </w:p>
        </w:tc>
        <w:tc>
          <w:tcPr>
            <w:tcW w:w="3018" w:type="dxa"/>
            <w:gridSpan w:val="2"/>
            <w:tcBorders>
              <w:right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水蒸气透过量</w:t>
            </w:r>
          </w:p>
        </w:tc>
        <w:tc>
          <w:tcPr>
            <w:tcW w:w="3038" w:type="dxa"/>
            <w:gridSpan w:val="2"/>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氧气透过量</w:t>
            </w:r>
          </w:p>
        </w:tc>
      </w:tr>
      <w:tr w:rsidR="00AC7711">
        <w:trPr>
          <w:trHeight w:val="624"/>
        </w:trPr>
        <w:tc>
          <w:tcPr>
            <w:tcW w:w="619" w:type="dxa"/>
            <w:vMerge/>
            <w:tcBorders>
              <w:right w:val="single" w:sz="4" w:space="0" w:color="auto"/>
            </w:tcBorders>
            <w:vAlign w:val="center"/>
          </w:tcPr>
          <w:p w:rsidR="00AC7711" w:rsidRDefault="00AC7711">
            <w:pPr>
              <w:adjustRightInd w:val="0"/>
              <w:snapToGrid w:val="0"/>
              <w:spacing w:line="360" w:lineRule="auto"/>
              <w:rPr>
                <w:rFonts w:ascii="宋体" w:hAnsi="宋体" w:cs="宋体"/>
                <w:szCs w:val="21"/>
              </w:rPr>
            </w:pPr>
          </w:p>
        </w:tc>
        <w:tc>
          <w:tcPr>
            <w:tcW w:w="1873" w:type="dxa"/>
            <w:vMerge/>
            <w:tcBorders>
              <w:left w:val="single" w:sz="4" w:space="0" w:color="auto"/>
            </w:tcBorders>
            <w:vAlign w:val="center"/>
          </w:tcPr>
          <w:p w:rsidR="00AC7711" w:rsidRDefault="00AC7711">
            <w:pPr>
              <w:adjustRightInd w:val="0"/>
              <w:snapToGrid w:val="0"/>
              <w:spacing w:line="360" w:lineRule="auto"/>
              <w:rPr>
                <w:rFonts w:ascii="宋体" w:hAnsi="宋体" w:cs="宋体"/>
                <w:szCs w:val="21"/>
              </w:rPr>
            </w:pPr>
          </w:p>
        </w:tc>
        <w:tc>
          <w:tcPr>
            <w:tcW w:w="1404" w:type="dxa"/>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试验方法及试验条件</w:t>
            </w:r>
          </w:p>
        </w:tc>
        <w:tc>
          <w:tcPr>
            <w:tcW w:w="1614" w:type="dxa"/>
            <w:tcBorders>
              <w:right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限度值</w:t>
            </w:r>
          </w:p>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[g/（m</w:t>
            </w:r>
            <w:r>
              <w:rPr>
                <w:rFonts w:ascii="宋体" w:hAnsi="宋体" w:cs="宋体" w:hint="eastAsia"/>
                <w:szCs w:val="21"/>
                <w:vertAlign w:val="superscript"/>
              </w:rPr>
              <w:t>2</w:t>
            </w:r>
            <w:r>
              <w:rPr>
                <w:rFonts w:ascii="宋体" w:hAnsi="宋体" w:cs="宋体" w:hint="eastAsia"/>
                <w:szCs w:val="21"/>
              </w:rPr>
              <w:t>·24h）]</w:t>
            </w:r>
          </w:p>
        </w:tc>
        <w:tc>
          <w:tcPr>
            <w:tcW w:w="1331" w:type="dxa"/>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试验方法及</w:t>
            </w:r>
          </w:p>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试验条件</w:t>
            </w:r>
          </w:p>
        </w:tc>
        <w:tc>
          <w:tcPr>
            <w:tcW w:w="1707" w:type="dxa"/>
            <w:tcBorders>
              <w:left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限度值[cm</w:t>
            </w:r>
            <w:r>
              <w:rPr>
                <w:rFonts w:ascii="宋体" w:hAnsi="宋体" w:cs="宋体" w:hint="eastAsia"/>
                <w:szCs w:val="21"/>
                <w:vertAlign w:val="superscript"/>
              </w:rPr>
              <w:t>3</w:t>
            </w:r>
            <w:r>
              <w:rPr>
                <w:rFonts w:ascii="宋体" w:hAnsi="宋体" w:cs="宋体" w:hint="eastAsia"/>
                <w:szCs w:val="21"/>
              </w:rPr>
              <w:t>/（m</w:t>
            </w:r>
            <w:r>
              <w:rPr>
                <w:rFonts w:ascii="宋体" w:hAnsi="宋体" w:cs="宋体" w:hint="eastAsia"/>
                <w:szCs w:val="21"/>
                <w:vertAlign w:val="superscript"/>
              </w:rPr>
              <w:t>2</w:t>
            </w:r>
            <w:r>
              <w:rPr>
                <w:rFonts w:ascii="宋体" w:hAnsi="宋体" w:cs="宋体" w:hint="eastAsia"/>
                <w:szCs w:val="21"/>
              </w:rPr>
              <w:t>·24h·0.1MPa）]</w:t>
            </w:r>
          </w:p>
        </w:tc>
      </w:tr>
      <w:tr w:rsidR="00AC7711">
        <w:trPr>
          <w:trHeight w:val="543"/>
        </w:trPr>
        <w:tc>
          <w:tcPr>
            <w:tcW w:w="619" w:type="dxa"/>
            <w:tcBorders>
              <w:bottom w:val="single" w:sz="4" w:space="0" w:color="auto"/>
              <w:right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1</w:t>
            </w:r>
          </w:p>
        </w:tc>
        <w:tc>
          <w:tcPr>
            <w:tcW w:w="1873" w:type="dxa"/>
            <w:tcBorders>
              <w:left w:val="single" w:sz="4" w:space="0" w:color="auto"/>
              <w:bottom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聚酯/铝/聚乙烯固体药用复合膜</w:t>
            </w:r>
          </w:p>
        </w:tc>
        <w:tc>
          <w:tcPr>
            <w:tcW w:w="1404" w:type="dxa"/>
            <w:tcBorders>
              <w:top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第二法或第三法条件B</w:t>
            </w:r>
          </w:p>
        </w:tc>
        <w:tc>
          <w:tcPr>
            <w:tcW w:w="1614" w:type="dxa"/>
            <w:tcBorders>
              <w:right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≤0.5</w:t>
            </w:r>
          </w:p>
        </w:tc>
        <w:tc>
          <w:tcPr>
            <w:tcW w:w="1331" w:type="dxa"/>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第一法或第二法</w:t>
            </w:r>
          </w:p>
        </w:tc>
        <w:tc>
          <w:tcPr>
            <w:tcW w:w="1707" w:type="dxa"/>
            <w:tcBorders>
              <w:left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≤0.5</w:t>
            </w:r>
          </w:p>
        </w:tc>
      </w:tr>
      <w:tr w:rsidR="00AC7711">
        <w:trPr>
          <w:trHeight w:val="624"/>
        </w:trPr>
        <w:tc>
          <w:tcPr>
            <w:tcW w:w="619" w:type="dxa"/>
            <w:tcBorders>
              <w:top w:val="single" w:sz="4" w:space="0" w:color="auto"/>
              <w:bottom w:val="single" w:sz="4" w:space="0" w:color="auto"/>
              <w:right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2</w:t>
            </w:r>
          </w:p>
        </w:tc>
        <w:tc>
          <w:tcPr>
            <w:tcW w:w="1873" w:type="dxa"/>
            <w:tcBorders>
              <w:top w:val="single" w:sz="4" w:space="0" w:color="auto"/>
              <w:left w:val="single" w:sz="4" w:space="0" w:color="auto"/>
              <w:bottom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玻璃纸/铝/聚乙烯固体药用复合膜</w:t>
            </w:r>
          </w:p>
        </w:tc>
        <w:tc>
          <w:tcPr>
            <w:tcW w:w="1404" w:type="dxa"/>
            <w:tcBorders>
              <w:top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第二法或第三法条件B</w:t>
            </w:r>
          </w:p>
        </w:tc>
        <w:tc>
          <w:tcPr>
            <w:tcW w:w="1614" w:type="dxa"/>
            <w:tcBorders>
              <w:right w:val="single" w:sz="4" w:space="0" w:color="auto"/>
            </w:tcBorders>
            <w:vAlign w:val="center"/>
          </w:tcPr>
          <w:p w:rsidR="00AF4901" w:rsidRDefault="00DF6DB4">
            <w:pPr>
              <w:adjustRightInd w:val="0"/>
              <w:snapToGrid w:val="0"/>
              <w:spacing w:line="360" w:lineRule="auto"/>
              <w:jc w:val="center"/>
              <w:rPr>
                <w:rFonts w:ascii="宋体" w:hAnsi="宋体" w:cs="宋体"/>
                <w:bCs/>
                <w:szCs w:val="21"/>
              </w:rPr>
            </w:pPr>
            <w:r>
              <w:rPr>
                <w:rFonts w:ascii="宋体" w:hAnsi="宋体" w:cs="宋体" w:hint="eastAsia"/>
                <w:szCs w:val="21"/>
              </w:rPr>
              <w:t>≤0.5</w:t>
            </w:r>
          </w:p>
        </w:tc>
        <w:tc>
          <w:tcPr>
            <w:tcW w:w="1331" w:type="dxa"/>
            <w:vAlign w:val="center"/>
          </w:tcPr>
          <w:p w:rsidR="00AF4901" w:rsidRDefault="00DF6DB4">
            <w:pPr>
              <w:adjustRightInd w:val="0"/>
              <w:snapToGrid w:val="0"/>
              <w:spacing w:line="360" w:lineRule="auto"/>
              <w:jc w:val="center"/>
              <w:rPr>
                <w:rFonts w:ascii="宋体" w:hAnsi="宋体" w:cs="宋体"/>
                <w:bCs/>
                <w:szCs w:val="21"/>
              </w:rPr>
            </w:pPr>
            <w:r>
              <w:rPr>
                <w:rFonts w:ascii="宋体" w:hAnsi="宋体" w:cs="宋体" w:hint="eastAsia"/>
                <w:szCs w:val="21"/>
              </w:rPr>
              <w:t>第一法或第二法</w:t>
            </w:r>
          </w:p>
        </w:tc>
        <w:tc>
          <w:tcPr>
            <w:tcW w:w="1707" w:type="dxa"/>
            <w:tcBorders>
              <w:left w:val="single" w:sz="4" w:space="0" w:color="auto"/>
              <w:bottom w:val="single" w:sz="4" w:space="0" w:color="000000" w:themeColor="text1"/>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≤0.5</w:t>
            </w:r>
          </w:p>
        </w:tc>
      </w:tr>
      <w:tr w:rsidR="00AC7711">
        <w:trPr>
          <w:trHeight w:val="552"/>
        </w:trPr>
        <w:tc>
          <w:tcPr>
            <w:tcW w:w="619" w:type="dxa"/>
            <w:tcBorders>
              <w:top w:val="single" w:sz="4" w:space="0" w:color="auto"/>
              <w:bottom w:val="single" w:sz="4" w:space="0" w:color="auto"/>
              <w:right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3</w:t>
            </w:r>
          </w:p>
        </w:tc>
        <w:tc>
          <w:tcPr>
            <w:tcW w:w="1873" w:type="dxa"/>
            <w:tcBorders>
              <w:top w:val="single" w:sz="4" w:space="0" w:color="auto"/>
              <w:left w:val="single" w:sz="4" w:space="0" w:color="auto"/>
              <w:bottom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铝/聚乙烯固体药用复合膜</w:t>
            </w:r>
          </w:p>
        </w:tc>
        <w:tc>
          <w:tcPr>
            <w:tcW w:w="1404" w:type="dxa"/>
            <w:tcBorders>
              <w:top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第二法或第三法条件B</w:t>
            </w:r>
          </w:p>
        </w:tc>
        <w:tc>
          <w:tcPr>
            <w:tcW w:w="1614" w:type="dxa"/>
            <w:tcBorders>
              <w:right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≤0.5</w:t>
            </w:r>
          </w:p>
        </w:tc>
        <w:tc>
          <w:tcPr>
            <w:tcW w:w="1331" w:type="dxa"/>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第一法或第二法</w:t>
            </w:r>
          </w:p>
        </w:tc>
        <w:tc>
          <w:tcPr>
            <w:tcW w:w="1707" w:type="dxa"/>
            <w:tcBorders>
              <w:left w:val="single" w:sz="4" w:space="0" w:color="auto"/>
              <w:bottom w:val="single" w:sz="4" w:space="0" w:color="000000" w:themeColor="text1"/>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≤0.5</w:t>
            </w:r>
          </w:p>
        </w:tc>
      </w:tr>
      <w:tr w:rsidR="00AC7711">
        <w:trPr>
          <w:trHeight w:val="624"/>
        </w:trPr>
        <w:tc>
          <w:tcPr>
            <w:tcW w:w="619" w:type="dxa"/>
            <w:tcBorders>
              <w:top w:val="single" w:sz="4" w:space="0" w:color="auto"/>
              <w:bottom w:val="single" w:sz="4" w:space="0" w:color="auto"/>
              <w:right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4</w:t>
            </w:r>
          </w:p>
        </w:tc>
        <w:tc>
          <w:tcPr>
            <w:tcW w:w="1873" w:type="dxa"/>
            <w:tcBorders>
              <w:top w:val="single" w:sz="4" w:space="0" w:color="auto"/>
              <w:left w:val="single" w:sz="4" w:space="0" w:color="auto"/>
              <w:bottom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纸/铝/聚乙烯固体药用复合膜</w:t>
            </w:r>
          </w:p>
        </w:tc>
        <w:tc>
          <w:tcPr>
            <w:tcW w:w="1404" w:type="dxa"/>
            <w:tcBorders>
              <w:top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第二法或第三法条件B</w:t>
            </w:r>
          </w:p>
        </w:tc>
        <w:tc>
          <w:tcPr>
            <w:tcW w:w="1614" w:type="dxa"/>
            <w:tcBorders>
              <w:right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≤0.5</w:t>
            </w:r>
          </w:p>
        </w:tc>
        <w:tc>
          <w:tcPr>
            <w:tcW w:w="1331" w:type="dxa"/>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第一法或第二法</w:t>
            </w:r>
          </w:p>
        </w:tc>
        <w:tc>
          <w:tcPr>
            <w:tcW w:w="1707" w:type="dxa"/>
            <w:tcBorders>
              <w:left w:val="single" w:sz="4" w:space="0" w:color="auto"/>
              <w:bottom w:val="single" w:sz="4" w:space="0" w:color="000000" w:themeColor="text1"/>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≤0.5</w:t>
            </w:r>
          </w:p>
        </w:tc>
      </w:tr>
      <w:tr w:rsidR="00AC7711">
        <w:trPr>
          <w:trHeight w:val="930"/>
        </w:trPr>
        <w:tc>
          <w:tcPr>
            <w:tcW w:w="619" w:type="dxa"/>
            <w:tcBorders>
              <w:top w:val="single" w:sz="4" w:space="0" w:color="auto"/>
              <w:bottom w:val="single" w:sz="4" w:space="0" w:color="auto"/>
              <w:right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5</w:t>
            </w:r>
          </w:p>
        </w:tc>
        <w:tc>
          <w:tcPr>
            <w:tcW w:w="1873" w:type="dxa"/>
            <w:tcBorders>
              <w:top w:val="single" w:sz="4" w:space="0" w:color="auto"/>
              <w:left w:val="single" w:sz="4" w:space="0" w:color="auto"/>
              <w:bottom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双向拉伸聚丙烯/真空镀铝流延聚丙烯固体药用复合膜</w:t>
            </w:r>
          </w:p>
        </w:tc>
        <w:tc>
          <w:tcPr>
            <w:tcW w:w="1404" w:type="dxa"/>
            <w:tcBorders>
              <w:top w:val="single" w:sz="4" w:space="0" w:color="auto"/>
            </w:tcBorders>
            <w:vAlign w:val="center"/>
          </w:tcPr>
          <w:p w:rsidR="00AF4901" w:rsidRDefault="00DF6DB4">
            <w:pPr>
              <w:adjustRightInd w:val="0"/>
              <w:snapToGrid w:val="0"/>
              <w:spacing w:line="360" w:lineRule="auto"/>
              <w:jc w:val="center"/>
              <w:rPr>
                <w:rFonts w:ascii="宋体" w:hAnsi="宋体" w:cs="宋体"/>
                <w:szCs w:val="21"/>
              </w:rPr>
            </w:pPr>
            <w:r>
              <w:rPr>
                <w:rFonts w:ascii="宋体" w:hAnsi="宋体" w:cs="宋体" w:hint="eastAsia"/>
                <w:szCs w:val="21"/>
              </w:rPr>
              <w:t>第二法或第三法条件B</w:t>
            </w:r>
          </w:p>
        </w:tc>
        <w:tc>
          <w:tcPr>
            <w:tcW w:w="1614" w:type="dxa"/>
            <w:tcBorders>
              <w:right w:val="single" w:sz="4" w:space="0" w:color="auto"/>
            </w:tcBorders>
            <w:vAlign w:val="center"/>
          </w:tcPr>
          <w:p w:rsidR="00AF4901" w:rsidRDefault="00DF6DB4">
            <w:pPr>
              <w:adjustRightInd w:val="0"/>
              <w:snapToGrid w:val="0"/>
              <w:spacing w:line="360" w:lineRule="auto"/>
              <w:jc w:val="center"/>
              <w:rPr>
                <w:rFonts w:ascii="宋体" w:hAnsi="宋体" w:cs="宋体"/>
                <w:bCs/>
                <w:szCs w:val="21"/>
              </w:rPr>
            </w:pPr>
            <w:r>
              <w:rPr>
                <w:rFonts w:ascii="宋体" w:hAnsi="宋体" w:cs="宋体" w:hint="eastAsia"/>
                <w:szCs w:val="21"/>
              </w:rPr>
              <w:t>≤2.0</w:t>
            </w:r>
          </w:p>
        </w:tc>
        <w:tc>
          <w:tcPr>
            <w:tcW w:w="1331" w:type="dxa"/>
            <w:vAlign w:val="center"/>
          </w:tcPr>
          <w:p w:rsidR="00AF4901" w:rsidRDefault="00DF6DB4">
            <w:pPr>
              <w:adjustRightInd w:val="0"/>
              <w:snapToGrid w:val="0"/>
              <w:spacing w:line="360" w:lineRule="auto"/>
              <w:jc w:val="center"/>
              <w:rPr>
                <w:rFonts w:ascii="宋体" w:hAnsi="宋体" w:cs="宋体"/>
                <w:bCs/>
                <w:szCs w:val="21"/>
              </w:rPr>
            </w:pPr>
            <w:r>
              <w:rPr>
                <w:rFonts w:ascii="宋体" w:hAnsi="宋体" w:cs="宋体" w:hint="eastAsia"/>
                <w:szCs w:val="21"/>
              </w:rPr>
              <w:t>第一法或第二法</w:t>
            </w:r>
          </w:p>
        </w:tc>
        <w:tc>
          <w:tcPr>
            <w:tcW w:w="1707" w:type="dxa"/>
            <w:tcBorders>
              <w:left w:val="single" w:sz="4" w:space="0" w:color="auto"/>
              <w:bottom w:val="single" w:sz="4" w:space="0" w:color="auto"/>
            </w:tcBorders>
            <w:vAlign w:val="center"/>
          </w:tcPr>
          <w:p w:rsidR="00AF4901" w:rsidRDefault="00DF6DB4">
            <w:pPr>
              <w:adjustRightInd w:val="0"/>
              <w:snapToGrid w:val="0"/>
              <w:spacing w:line="360" w:lineRule="auto"/>
              <w:jc w:val="center"/>
              <w:rPr>
                <w:rFonts w:ascii="宋体" w:hAnsi="宋体" w:cs="宋体"/>
                <w:bCs/>
                <w:sz w:val="18"/>
                <w:szCs w:val="21"/>
              </w:rPr>
            </w:pPr>
            <w:r>
              <w:rPr>
                <w:rFonts w:ascii="宋体" w:hAnsi="宋体" w:cs="宋体" w:hint="eastAsia"/>
                <w:szCs w:val="21"/>
              </w:rPr>
              <w:t>≤10</w:t>
            </w:r>
          </w:p>
        </w:tc>
      </w:tr>
      <w:tr w:rsidR="00AC7711">
        <w:trPr>
          <w:trHeight w:val="624"/>
        </w:trPr>
        <w:tc>
          <w:tcPr>
            <w:tcW w:w="619" w:type="dxa"/>
            <w:tcBorders>
              <w:top w:val="single" w:sz="4" w:space="0" w:color="auto"/>
              <w:right w:val="single" w:sz="4" w:space="0" w:color="auto"/>
            </w:tcBorders>
            <w:vAlign w:val="center"/>
          </w:tcPr>
          <w:p w:rsidR="00AF4901" w:rsidRDefault="00DF6DB4">
            <w:pPr>
              <w:adjustRightInd w:val="0"/>
              <w:snapToGrid w:val="0"/>
              <w:spacing w:line="360" w:lineRule="auto"/>
              <w:jc w:val="center"/>
              <w:rPr>
                <w:rFonts w:ascii="宋体" w:hAnsi="宋体" w:cs="宋体"/>
                <w:sz w:val="18"/>
                <w:szCs w:val="21"/>
              </w:rPr>
            </w:pPr>
            <w:r>
              <w:rPr>
                <w:rFonts w:ascii="宋体" w:hAnsi="宋体" w:cs="宋体" w:hint="eastAsia"/>
                <w:szCs w:val="21"/>
              </w:rPr>
              <w:t>6</w:t>
            </w:r>
          </w:p>
        </w:tc>
        <w:tc>
          <w:tcPr>
            <w:tcW w:w="1873" w:type="dxa"/>
            <w:tcBorders>
              <w:top w:val="single" w:sz="4" w:space="0" w:color="auto"/>
              <w:left w:val="single" w:sz="4" w:space="0" w:color="auto"/>
            </w:tcBorders>
            <w:vAlign w:val="center"/>
          </w:tcPr>
          <w:p w:rsidR="00AF4901" w:rsidRDefault="00DF6DB4">
            <w:pPr>
              <w:adjustRightInd w:val="0"/>
              <w:snapToGrid w:val="0"/>
              <w:spacing w:line="360" w:lineRule="auto"/>
              <w:jc w:val="center"/>
              <w:rPr>
                <w:rFonts w:ascii="宋体" w:hAnsi="宋体" w:cs="宋体"/>
                <w:sz w:val="18"/>
                <w:szCs w:val="21"/>
              </w:rPr>
            </w:pPr>
            <w:r>
              <w:rPr>
                <w:rFonts w:ascii="宋体" w:hAnsi="宋体" w:cs="宋体" w:hint="eastAsia"/>
                <w:szCs w:val="21"/>
              </w:rPr>
              <w:t>聚酯/低密度聚乙烯固体药用复合膜</w:t>
            </w:r>
          </w:p>
        </w:tc>
        <w:tc>
          <w:tcPr>
            <w:tcW w:w="1404" w:type="dxa"/>
            <w:tcBorders>
              <w:top w:val="single" w:sz="4" w:space="0" w:color="auto"/>
            </w:tcBorders>
            <w:vAlign w:val="center"/>
          </w:tcPr>
          <w:p w:rsidR="00AF4901" w:rsidRDefault="00DF6DB4">
            <w:pPr>
              <w:adjustRightInd w:val="0"/>
              <w:snapToGrid w:val="0"/>
              <w:spacing w:line="360" w:lineRule="auto"/>
              <w:jc w:val="center"/>
              <w:rPr>
                <w:rFonts w:ascii="宋体" w:hAnsi="宋体" w:cs="宋体"/>
                <w:sz w:val="18"/>
                <w:szCs w:val="21"/>
              </w:rPr>
            </w:pPr>
            <w:r>
              <w:rPr>
                <w:rFonts w:ascii="宋体" w:hAnsi="宋体" w:cs="宋体" w:hint="eastAsia"/>
                <w:szCs w:val="21"/>
              </w:rPr>
              <w:t>第一法1（1）、第二法或第三法条件B</w:t>
            </w:r>
          </w:p>
        </w:tc>
        <w:tc>
          <w:tcPr>
            <w:tcW w:w="1614" w:type="dxa"/>
            <w:tcBorders>
              <w:top w:val="single" w:sz="4" w:space="0" w:color="auto"/>
              <w:right w:val="single" w:sz="4" w:space="0" w:color="auto"/>
            </w:tcBorders>
            <w:vAlign w:val="center"/>
          </w:tcPr>
          <w:p w:rsidR="00AF4901" w:rsidRDefault="00DF6DB4">
            <w:pPr>
              <w:adjustRightInd w:val="0"/>
              <w:snapToGrid w:val="0"/>
              <w:spacing w:line="360" w:lineRule="auto"/>
              <w:jc w:val="center"/>
              <w:rPr>
                <w:rFonts w:ascii="宋体" w:hAnsi="宋体" w:cs="宋体"/>
                <w:bCs/>
                <w:sz w:val="18"/>
                <w:szCs w:val="21"/>
              </w:rPr>
            </w:pPr>
            <w:r>
              <w:rPr>
                <w:rFonts w:ascii="宋体" w:hAnsi="宋体" w:cs="宋体" w:hint="eastAsia"/>
                <w:szCs w:val="21"/>
              </w:rPr>
              <w:t>≤5.5</w:t>
            </w:r>
          </w:p>
        </w:tc>
        <w:tc>
          <w:tcPr>
            <w:tcW w:w="1331" w:type="dxa"/>
            <w:tcBorders>
              <w:top w:val="single" w:sz="4" w:space="0" w:color="auto"/>
            </w:tcBorders>
            <w:vAlign w:val="center"/>
          </w:tcPr>
          <w:p w:rsidR="00AF4901" w:rsidRDefault="00DF6DB4">
            <w:pPr>
              <w:adjustRightInd w:val="0"/>
              <w:snapToGrid w:val="0"/>
              <w:spacing w:line="360" w:lineRule="auto"/>
              <w:jc w:val="center"/>
              <w:rPr>
                <w:rFonts w:ascii="宋体" w:hAnsi="宋体" w:cs="宋体"/>
                <w:bCs/>
                <w:sz w:val="18"/>
                <w:szCs w:val="21"/>
              </w:rPr>
            </w:pPr>
            <w:r>
              <w:rPr>
                <w:rFonts w:ascii="宋体" w:hAnsi="宋体" w:cs="宋体" w:hint="eastAsia"/>
                <w:szCs w:val="21"/>
              </w:rPr>
              <w:t>第一法或第二法</w:t>
            </w:r>
          </w:p>
        </w:tc>
        <w:tc>
          <w:tcPr>
            <w:tcW w:w="1707" w:type="dxa"/>
            <w:tcBorders>
              <w:top w:val="single" w:sz="4" w:space="0" w:color="auto"/>
              <w:left w:val="single" w:sz="4" w:space="0" w:color="auto"/>
            </w:tcBorders>
            <w:vAlign w:val="center"/>
          </w:tcPr>
          <w:p w:rsidR="00AF4901" w:rsidRDefault="00DF6DB4">
            <w:pPr>
              <w:adjustRightInd w:val="0"/>
              <w:snapToGrid w:val="0"/>
              <w:spacing w:line="360" w:lineRule="auto"/>
              <w:jc w:val="center"/>
              <w:rPr>
                <w:rFonts w:ascii="宋体" w:hAnsi="宋体" w:cs="宋体"/>
                <w:sz w:val="18"/>
                <w:szCs w:val="21"/>
              </w:rPr>
            </w:pPr>
            <w:r>
              <w:rPr>
                <w:rFonts w:ascii="宋体" w:hAnsi="宋体" w:cs="宋体" w:hint="eastAsia"/>
                <w:szCs w:val="21"/>
              </w:rPr>
              <w:t>≤1500</w:t>
            </w:r>
          </w:p>
        </w:tc>
      </w:tr>
      <w:tr w:rsidR="00AC7711">
        <w:trPr>
          <w:trHeight w:val="930"/>
        </w:trPr>
        <w:tc>
          <w:tcPr>
            <w:tcW w:w="619" w:type="dxa"/>
            <w:tcBorders>
              <w:top w:val="single" w:sz="4" w:space="0" w:color="auto"/>
              <w:right w:val="single" w:sz="4" w:space="0" w:color="auto"/>
            </w:tcBorders>
            <w:vAlign w:val="center"/>
          </w:tcPr>
          <w:p w:rsidR="00AF4901" w:rsidRDefault="00DF6DB4">
            <w:pPr>
              <w:adjustRightInd w:val="0"/>
              <w:snapToGrid w:val="0"/>
              <w:spacing w:line="360" w:lineRule="auto"/>
              <w:jc w:val="center"/>
              <w:rPr>
                <w:rFonts w:ascii="宋体" w:hAnsi="宋体" w:cs="宋体"/>
                <w:sz w:val="18"/>
                <w:szCs w:val="21"/>
              </w:rPr>
            </w:pPr>
            <w:r>
              <w:rPr>
                <w:rFonts w:ascii="宋体" w:hAnsi="宋体" w:cs="宋体" w:hint="eastAsia"/>
                <w:szCs w:val="21"/>
              </w:rPr>
              <w:t>7</w:t>
            </w:r>
          </w:p>
        </w:tc>
        <w:tc>
          <w:tcPr>
            <w:tcW w:w="1873" w:type="dxa"/>
            <w:tcBorders>
              <w:top w:val="single" w:sz="4" w:space="0" w:color="auto"/>
              <w:left w:val="single" w:sz="4" w:space="0" w:color="auto"/>
            </w:tcBorders>
            <w:vAlign w:val="center"/>
          </w:tcPr>
          <w:p w:rsidR="00AF4901" w:rsidRDefault="00DF6DB4">
            <w:pPr>
              <w:adjustRightInd w:val="0"/>
              <w:snapToGrid w:val="0"/>
              <w:spacing w:line="360" w:lineRule="auto"/>
              <w:jc w:val="center"/>
              <w:rPr>
                <w:rFonts w:ascii="宋体" w:hAnsi="宋体" w:cs="宋体"/>
                <w:sz w:val="18"/>
                <w:szCs w:val="21"/>
              </w:rPr>
            </w:pPr>
            <w:r>
              <w:rPr>
                <w:rFonts w:ascii="宋体" w:hAnsi="宋体" w:cs="宋体" w:hint="eastAsia"/>
                <w:szCs w:val="21"/>
              </w:rPr>
              <w:t>双向拉伸聚丙烯/低密度聚乙烯固体药用复合膜</w:t>
            </w:r>
          </w:p>
        </w:tc>
        <w:tc>
          <w:tcPr>
            <w:tcW w:w="1404" w:type="dxa"/>
            <w:tcBorders>
              <w:top w:val="single" w:sz="4" w:space="0" w:color="auto"/>
            </w:tcBorders>
            <w:vAlign w:val="center"/>
          </w:tcPr>
          <w:p w:rsidR="00AF4901" w:rsidRDefault="00DF6DB4">
            <w:pPr>
              <w:adjustRightInd w:val="0"/>
              <w:snapToGrid w:val="0"/>
              <w:spacing w:line="360" w:lineRule="auto"/>
              <w:jc w:val="center"/>
              <w:rPr>
                <w:rFonts w:ascii="宋体" w:hAnsi="宋体" w:cs="宋体"/>
                <w:sz w:val="18"/>
                <w:szCs w:val="21"/>
              </w:rPr>
            </w:pPr>
            <w:r>
              <w:rPr>
                <w:rFonts w:ascii="宋体" w:hAnsi="宋体" w:cs="宋体" w:hint="eastAsia"/>
                <w:szCs w:val="21"/>
              </w:rPr>
              <w:t>第一法1（1）、第二法或第三法条件B</w:t>
            </w:r>
          </w:p>
        </w:tc>
        <w:tc>
          <w:tcPr>
            <w:tcW w:w="1614" w:type="dxa"/>
            <w:tcBorders>
              <w:top w:val="single" w:sz="4" w:space="0" w:color="auto"/>
              <w:right w:val="single" w:sz="4" w:space="0" w:color="auto"/>
            </w:tcBorders>
            <w:vAlign w:val="center"/>
          </w:tcPr>
          <w:p w:rsidR="00AF4901" w:rsidRDefault="00DF6DB4">
            <w:pPr>
              <w:adjustRightInd w:val="0"/>
              <w:snapToGrid w:val="0"/>
              <w:spacing w:line="360" w:lineRule="auto"/>
              <w:jc w:val="center"/>
              <w:rPr>
                <w:rFonts w:ascii="宋体" w:hAnsi="宋体" w:cs="宋体"/>
                <w:bCs/>
                <w:sz w:val="18"/>
                <w:szCs w:val="21"/>
              </w:rPr>
            </w:pPr>
            <w:r>
              <w:rPr>
                <w:rFonts w:ascii="宋体" w:hAnsi="宋体" w:cs="宋体" w:hint="eastAsia"/>
                <w:szCs w:val="21"/>
              </w:rPr>
              <w:t>≤5.5</w:t>
            </w:r>
          </w:p>
        </w:tc>
        <w:tc>
          <w:tcPr>
            <w:tcW w:w="1331" w:type="dxa"/>
            <w:tcBorders>
              <w:top w:val="single" w:sz="4" w:space="0" w:color="auto"/>
            </w:tcBorders>
            <w:vAlign w:val="center"/>
          </w:tcPr>
          <w:p w:rsidR="00AF4901" w:rsidRDefault="00DF6DB4">
            <w:pPr>
              <w:adjustRightInd w:val="0"/>
              <w:snapToGrid w:val="0"/>
              <w:spacing w:line="360" w:lineRule="auto"/>
              <w:jc w:val="center"/>
              <w:rPr>
                <w:rFonts w:ascii="宋体" w:hAnsi="宋体" w:cs="宋体"/>
                <w:bCs/>
                <w:sz w:val="18"/>
                <w:szCs w:val="21"/>
              </w:rPr>
            </w:pPr>
            <w:r>
              <w:rPr>
                <w:rFonts w:ascii="宋体" w:hAnsi="宋体" w:cs="宋体" w:hint="eastAsia"/>
                <w:szCs w:val="21"/>
              </w:rPr>
              <w:t>第一法或第二法</w:t>
            </w:r>
          </w:p>
        </w:tc>
        <w:tc>
          <w:tcPr>
            <w:tcW w:w="1707" w:type="dxa"/>
            <w:tcBorders>
              <w:top w:val="single" w:sz="4" w:space="0" w:color="auto"/>
              <w:left w:val="single" w:sz="4" w:space="0" w:color="auto"/>
            </w:tcBorders>
            <w:vAlign w:val="center"/>
          </w:tcPr>
          <w:p w:rsidR="00AF4901" w:rsidRDefault="00DF6DB4">
            <w:pPr>
              <w:adjustRightInd w:val="0"/>
              <w:snapToGrid w:val="0"/>
              <w:spacing w:line="360" w:lineRule="auto"/>
              <w:jc w:val="center"/>
              <w:rPr>
                <w:rFonts w:ascii="宋体" w:hAnsi="宋体" w:cs="宋体"/>
                <w:sz w:val="18"/>
                <w:szCs w:val="21"/>
              </w:rPr>
            </w:pPr>
            <w:r>
              <w:rPr>
                <w:rFonts w:ascii="宋体" w:hAnsi="宋体" w:cs="宋体" w:hint="eastAsia"/>
                <w:szCs w:val="21"/>
              </w:rPr>
              <w:t>≤1500</w:t>
            </w:r>
          </w:p>
        </w:tc>
      </w:tr>
      <w:tr w:rsidR="00AC7711">
        <w:trPr>
          <w:trHeight w:val="653"/>
        </w:trPr>
        <w:tc>
          <w:tcPr>
            <w:tcW w:w="619" w:type="dxa"/>
            <w:tcBorders>
              <w:top w:val="single" w:sz="4" w:space="0" w:color="auto"/>
              <w:right w:val="single" w:sz="4" w:space="0" w:color="auto"/>
            </w:tcBorders>
            <w:vAlign w:val="center"/>
          </w:tcPr>
          <w:p w:rsidR="00AF4901" w:rsidRDefault="00DF6DB4">
            <w:pPr>
              <w:adjustRightInd w:val="0"/>
              <w:snapToGrid w:val="0"/>
              <w:spacing w:line="360" w:lineRule="auto"/>
              <w:jc w:val="center"/>
              <w:rPr>
                <w:rFonts w:ascii="宋体" w:hAnsi="宋体" w:cs="宋体"/>
                <w:sz w:val="18"/>
                <w:szCs w:val="21"/>
              </w:rPr>
            </w:pPr>
            <w:r>
              <w:rPr>
                <w:rFonts w:ascii="宋体" w:hAnsi="宋体" w:cs="宋体" w:hint="eastAsia"/>
                <w:szCs w:val="21"/>
              </w:rPr>
              <w:t>8</w:t>
            </w:r>
          </w:p>
        </w:tc>
        <w:tc>
          <w:tcPr>
            <w:tcW w:w="1873" w:type="dxa"/>
            <w:tcBorders>
              <w:top w:val="single" w:sz="4" w:space="0" w:color="auto"/>
              <w:left w:val="single" w:sz="4" w:space="0" w:color="auto"/>
            </w:tcBorders>
            <w:vAlign w:val="center"/>
          </w:tcPr>
          <w:p w:rsidR="00AF4901" w:rsidRDefault="00DF6DB4">
            <w:pPr>
              <w:adjustRightInd w:val="0"/>
              <w:snapToGrid w:val="0"/>
              <w:spacing w:line="360" w:lineRule="auto"/>
              <w:jc w:val="center"/>
              <w:rPr>
                <w:rFonts w:ascii="宋体" w:hAnsi="宋体" w:cs="宋体"/>
                <w:sz w:val="18"/>
                <w:szCs w:val="21"/>
              </w:rPr>
            </w:pPr>
            <w:r>
              <w:rPr>
                <w:rFonts w:ascii="宋体" w:hAnsi="宋体" w:cs="宋体" w:hint="eastAsia"/>
                <w:szCs w:val="21"/>
              </w:rPr>
              <w:t>聚酰胺/聚乙烯固体药用复合膜</w:t>
            </w:r>
          </w:p>
        </w:tc>
        <w:tc>
          <w:tcPr>
            <w:tcW w:w="1404" w:type="dxa"/>
            <w:tcBorders>
              <w:top w:val="single" w:sz="4" w:space="0" w:color="auto"/>
              <w:bottom w:val="single" w:sz="4" w:space="0" w:color="auto"/>
            </w:tcBorders>
            <w:vAlign w:val="center"/>
          </w:tcPr>
          <w:p w:rsidR="00AF4901" w:rsidRDefault="00DF6DB4">
            <w:pPr>
              <w:adjustRightInd w:val="0"/>
              <w:snapToGrid w:val="0"/>
              <w:spacing w:line="360" w:lineRule="auto"/>
              <w:jc w:val="center"/>
              <w:rPr>
                <w:rFonts w:ascii="宋体" w:hAnsi="宋体" w:cs="宋体"/>
                <w:sz w:val="18"/>
                <w:szCs w:val="21"/>
              </w:rPr>
            </w:pPr>
            <w:r>
              <w:rPr>
                <w:rFonts w:ascii="宋体" w:hAnsi="宋体" w:cs="宋体" w:hint="eastAsia"/>
                <w:szCs w:val="21"/>
              </w:rPr>
              <w:t>第一法1（1）、第二法或第三法条件B</w:t>
            </w:r>
          </w:p>
        </w:tc>
        <w:tc>
          <w:tcPr>
            <w:tcW w:w="1614" w:type="dxa"/>
            <w:tcBorders>
              <w:right w:val="single" w:sz="4" w:space="0" w:color="auto"/>
            </w:tcBorders>
            <w:vAlign w:val="center"/>
          </w:tcPr>
          <w:p w:rsidR="00AF4901" w:rsidRDefault="00DF6DB4">
            <w:pPr>
              <w:adjustRightInd w:val="0"/>
              <w:snapToGrid w:val="0"/>
              <w:spacing w:line="360" w:lineRule="auto"/>
              <w:jc w:val="center"/>
              <w:rPr>
                <w:rFonts w:ascii="宋体" w:hAnsi="宋体" w:cs="宋体"/>
                <w:sz w:val="18"/>
                <w:szCs w:val="21"/>
              </w:rPr>
            </w:pPr>
            <w:r>
              <w:rPr>
                <w:rFonts w:ascii="宋体" w:hAnsi="宋体" w:cs="宋体" w:hint="eastAsia"/>
                <w:szCs w:val="21"/>
              </w:rPr>
              <w:t>≤15.0</w:t>
            </w:r>
          </w:p>
        </w:tc>
        <w:tc>
          <w:tcPr>
            <w:tcW w:w="1331" w:type="dxa"/>
            <w:vAlign w:val="center"/>
          </w:tcPr>
          <w:p w:rsidR="00AF4901" w:rsidRDefault="00DF6DB4">
            <w:pPr>
              <w:adjustRightInd w:val="0"/>
              <w:snapToGrid w:val="0"/>
              <w:spacing w:line="360" w:lineRule="auto"/>
              <w:jc w:val="center"/>
              <w:rPr>
                <w:rFonts w:ascii="宋体" w:hAnsi="宋体" w:cs="宋体"/>
                <w:sz w:val="18"/>
                <w:szCs w:val="21"/>
              </w:rPr>
            </w:pPr>
            <w:r>
              <w:rPr>
                <w:rFonts w:ascii="宋体" w:hAnsi="宋体" w:cs="宋体" w:hint="eastAsia"/>
                <w:szCs w:val="21"/>
              </w:rPr>
              <w:t>第一法或第二法</w:t>
            </w:r>
          </w:p>
        </w:tc>
        <w:tc>
          <w:tcPr>
            <w:tcW w:w="1707" w:type="dxa"/>
            <w:tcBorders>
              <w:left w:val="single" w:sz="4" w:space="0" w:color="auto"/>
            </w:tcBorders>
            <w:vAlign w:val="center"/>
          </w:tcPr>
          <w:p w:rsidR="00AF4901" w:rsidRDefault="00DF6DB4">
            <w:pPr>
              <w:adjustRightInd w:val="0"/>
              <w:snapToGrid w:val="0"/>
              <w:spacing w:line="360" w:lineRule="auto"/>
              <w:jc w:val="center"/>
              <w:rPr>
                <w:rFonts w:ascii="宋体" w:hAnsi="宋体" w:cs="宋体"/>
                <w:sz w:val="18"/>
                <w:szCs w:val="21"/>
              </w:rPr>
            </w:pPr>
            <w:r>
              <w:rPr>
                <w:rFonts w:ascii="宋体" w:hAnsi="宋体" w:cs="宋体" w:hint="eastAsia"/>
                <w:szCs w:val="21"/>
              </w:rPr>
              <w:t>≤1500</w:t>
            </w:r>
          </w:p>
        </w:tc>
      </w:tr>
    </w:tbl>
    <w:p w:rsidR="00AC7711" w:rsidRDefault="00DF6DB4">
      <w:pPr>
        <w:adjustRightInd w:val="0"/>
        <w:snapToGrid w:val="0"/>
        <w:spacing w:line="360" w:lineRule="auto"/>
        <w:ind w:firstLineChars="200" w:firstLine="420"/>
        <w:rPr>
          <w:rFonts w:ascii="宋体" w:hAnsi="宋体" w:cs="宋体"/>
          <w:szCs w:val="21"/>
        </w:rPr>
      </w:pPr>
      <w:r>
        <w:rPr>
          <w:rFonts w:ascii="宋体" w:hAnsi="宋体" w:cs="宋体" w:hint="eastAsia"/>
          <w:szCs w:val="21"/>
        </w:rPr>
        <w:t>3、在复合膜的命名及规格型号表述中常用到组成材料的英文缩写，故常用组成材料名称及对应的英文缩写列于附表C中。</w:t>
      </w:r>
    </w:p>
    <w:p w:rsidR="002B2BD6" w:rsidRDefault="002B2BD6">
      <w:pPr>
        <w:widowControl/>
        <w:jc w:val="left"/>
        <w:rPr>
          <w:szCs w:val="21"/>
        </w:rPr>
      </w:pPr>
      <w:r>
        <w:rPr>
          <w:szCs w:val="21"/>
        </w:rPr>
        <w:br w:type="page"/>
      </w:r>
    </w:p>
    <w:p w:rsidR="00AC7711" w:rsidRDefault="00DF6DB4">
      <w:pPr>
        <w:adjustRightInd w:val="0"/>
        <w:snapToGrid w:val="0"/>
        <w:spacing w:line="360" w:lineRule="auto"/>
        <w:jc w:val="center"/>
        <w:rPr>
          <w:szCs w:val="21"/>
        </w:rPr>
      </w:pPr>
      <w:r>
        <w:rPr>
          <w:rFonts w:hint="eastAsia"/>
          <w:szCs w:val="21"/>
        </w:rPr>
        <w:lastRenderedPageBreak/>
        <w:t>附表</w:t>
      </w:r>
      <w:r>
        <w:rPr>
          <w:rFonts w:hint="eastAsia"/>
          <w:szCs w:val="21"/>
        </w:rPr>
        <w:t xml:space="preserve">C </w:t>
      </w:r>
      <w:r>
        <w:rPr>
          <w:rFonts w:hint="eastAsia"/>
          <w:szCs w:val="21"/>
        </w:rPr>
        <w:t>膜材常用</w:t>
      </w:r>
      <w:r>
        <w:rPr>
          <w:rFonts w:cs="宋体" w:hint="eastAsia"/>
          <w:szCs w:val="21"/>
        </w:rPr>
        <w:t>缩略语</w:t>
      </w: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8"/>
        <w:gridCol w:w="3409"/>
      </w:tblGrid>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F4901" w:rsidRDefault="00DF6DB4">
            <w:pPr>
              <w:widowControl/>
              <w:adjustRightInd w:val="0"/>
              <w:snapToGrid w:val="0"/>
              <w:spacing w:line="360" w:lineRule="auto"/>
              <w:jc w:val="center"/>
              <w:textAlignment w:val="top"/>
              <w:rPr>
                <w:rFonts w:ascii="宋体" w:hAnsi="宋体" w:cs="宋体"/>
                <w:b/>
                <w:sz w:val="18"/>
                <w:szCs w:val="21"/>
              </w:rPr>
            </w:pPr>
            <w:r>
              <w:rPr>
                <w:rFonts w:ascii="宋体" w:hAnsi="宋体" w:cs="宋体" w:hint="eastAsia"/>
                <w:b/>
                <w:kern w:val="0"/>
                <w:szCs w:val="21"/>
              </w:rPr>
              <w:t>英文缩写</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F4901" w:rsidRDefault="00DF6DB4">
            <w:pPr>
              <w:widowControl/>
              <w:adjustRightInd w:val="0"/>
              <w:snapToGrid w:val="0"/>
              <w:spacing w:line="360" w:lineRule="auto"/>
              <w:jc w:val="center"/>
              <w:textAlignment w:val="top"/>
              <w:rPr>
                <w:rFonts w:ascii="宋体" w:hAnsi="宋体" w:cs="宋体"/>
                <w:b/>
                <w:sz w:val="18"/>
                <w:szCs w:val="21"/>
              </w:rPr>
            </w:pPr>
            <w:r>
              <w:rPr>
                <w:rFonts w:ascii="宋体" w:hAnsi="宋体" w:cs="宋体" w:hint="eastAsia"/>
                <w:b/>
                <w:kern w:val="0"/>
                <w:szCs w:val="21"/>
              </w:rPr>
              <w:t>对应材料名称</w:t>
            </w:r>
          </w:p>
        </w:tc>
      </w:tr>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BOPA</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双向拉伸聚酰胺</w:t>
            </w:r>
          </w:p>
        </w:tc>
      </w:tr>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BOPET</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双向拉伸聚酯</w:t>
            </w:r>
          </w:p>
        </w:tc>
      </w:tr>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BOPP</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双向拉伸聚丙烯</w:t>
            </w:r>
          </w:p>
        </w:tc>
      </w:tr>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CPP</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流延聚丙烯</w:t>
            </w:r>
          </w:p>
        </w:tc>
      </w:tr>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EAA</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乙烯与丙烯酸共聚物</w:t>
            </w:r>
          </w:p>
        </w:tc>
      </w:tr>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EMA</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乙烯与甲基丙烯酸共聚物</w:t>
            </w:r>
          </w:p>
        </w:tc>
      </w:tr>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EVA</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乙烯与醋酸乙烯酯共聚物</w:t>
            </w:r>
          </w:p>
        </w:tc>
      </w:tr>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PE</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聚乙烯</w:t>
            </w:r>
          </w:p>
        </w:tc>
      </w:tr>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PT</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玻璃纸（赛璐玢）</w:t>
            </w:r>
          </w:p>
        </w:tc>
      </w:tr>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ABS</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丙烯腈/丁二烯/苯乙烯共聚物</w:t>
            </w:r>
          </w:p>
        </w:tc>
      </w:tr>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AS</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丙烯腈/苯乙烯共聚物</w:t>
            </w:r>
          </w:p>
        </w:tc>
      </w:tr>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CPE</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流延聚乙烯</w:t>
            </w:r>
          </w:p>
        </w:tc>
      </w:tr>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EEA</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乙烯/丙烯酸乙酯共聚物</w:t>
            </w:r>
          </w:p>
        </w:tc>
      </w:tr>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EVOH</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乙烯/乙烯醇共聚物</w:t>
            </w:r>
          </w:p>
        </w:tc>
      </w:tr>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LDPE</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低密度聚乙烯</w:t>
            </w:r>
          </w:p>
        </w:tc>
      </w:tr>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MBS</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甲基丙烯酸酯/丁二烯/苯乙烯共聚物</w:t>
            </w:r>
          </w:p>
        </w:tc>
      </w:tr>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PAPER</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纸</w:t>
            </w:r>
          </w:p>
        </w:tc>
      </w:tr>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PC</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聚碳酸酯</w:t>
            </w:r>
          </w:p>
        </w:tc>
      </w:tr>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PO</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聚烯烃</w:t>
            </w:r>
          </w:p>
        </w:tc>
      </w:tr>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PVA</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聚乙烯醇</w:t>
            </w:r>
          </w:p>
        </w:tc>
      </w:tr>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VMBOPP</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真空镀铝双向拉伸聚丙烯</w:t>
            </w:r>
          </w:p>
        </w:tc>
      </w:tr>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VMCPP</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真空镀铝流延聚丙烯</w:t>
            </w:r>
          </w:p>
        </w:tc>
      </w:tr>
      <w:tr w:rsidR="00AC7711">
        <w:trPr>
          <w:trHeight w:val="400"/>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VMPET</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真空镀铝聚酯</w:t>
            </w:r>
          </w:p>
        </w:tc>
      </w:tr>
      <w:tr w:rsidR="00AC7711" w:rsidTr="0003486E">
        <w:trPr>
          <w:trHeight w:val="428"/>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kern w:val="0"/>
                <w:szCs w:val="21"/>
              </w:rPr>
            </w:pPr>
            <w:r>
              <w:rPr>
                <w:rFonts w:ascii="宋体" w:hAnsi="宋体" w:cs="宋体" w:hint="eastAsia"/>
                <w:kern w:val="0"/>
                <w:szCs w:val="21"/>
              </w:rPr>
              <w:t>AL</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C7711" w:rsidRDefault="00DF6DB4">
            <w:pPr>
              <w:widowControl/>
              <w:adjustRightInd w:val="0"/>
              <w:snapToGrid w:val="0"/>
              <w:spacing w:line="360" w:lineRule="auto"/>
              <w:jc w:val="center"/>
              <w:textAlignment w:val="center"/>
              <w:rPr>
                <w:rFonts w:ascii="宋体" w:hAnsi="宋体" w:cs="宋体"/>
                <w:kern w:val="0"/>
                <w:szCs w:val="21"/>
              </w:rPr>
            </w:pPr>
            <w:r>
              <w:rPr>
                <w:rFonts w:ascii="宋体" w:hAnsi="宋体" w:cs="宋体" w:hint="eastAsia"/>
                <w:kern w:val="0"/>
                <w:szCs w:val="21"/>
              </w:rPr>
              <w:t>铝箔</w:t>
            </w:r>
          </w:p>
        </w:tc>
      </w:tr>
      <w:tr w:rsidR="00A86E84" w:rsidTr="0003486E">
        <w:trPr>
          <w:trHeight w:val="428"/>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86E84" w:rsidRPr="0003486E" w:rsidRDefault="00A86E84" w:rsidP="00541C94">
            <w:pPr>
              <w:widowControl/>
              <w:adjustRightInd w:val="0"/>
              <w:snapToGrid w:val="0"/>
              <w:spacing w:line="360" w:lineRule="auto"/>
              <w:jc w:val="center"/>
              <w:textAlignment w:val="center"/>
              <w:rPr>
                <w:rFonts w:cs="宋体"/>
                <w:szCs w:val="21"/>
              </w:rPr>
            </w:pPr>
            <w:r w:rsidRPr="00A07B70">
              <w:rPr>
                <w:rFonts w:ascii="宋体" w:hAnsi="宋体" w:cs="宋体"/>
                <w:kern w:val="0"/>
                <w:szCs w:val="21"/>
              </w:rPr>
              <w:t>OPP</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86E84" w:rsidRPr="0003486E" w:rsidRDefault="00A86E84" w:rsidP="00541C94">
            <w:pPr>
              <w:widowControl/>
              <w:adjustRightInd w:val="0"/>
              <w:snapToGrid w:val="0"/>
              <w:spacing w:line="360" w:lineRule="auto"/>
              <w:jc w:val="center"/>
              <w:textAlignment w:val="center"/>
              <w:rPr>
                <w:rFonts w:ascii="宋体" w:hAnsi="宋体" w:cs="宋体"/>
                <w:kern w:val="0"/>
                <w:szCs w:val="21"/>
              </w:rPr>
            </w:pPr>
            <w:r w:rsidRPr="0003486E">
              <w:rPr>
                <w:rFonts w:ascii="宋体" w:hAnsi="宋体" w:cs="宋体" w:hint="eastAsia"/>
                <w:kern w:val="0"/>
                <w:szCs w:val="21"/>
              </w:rPr>
              <w:t>拉伸聚丙烯</w:t>
            </w:r>
          </w:p>
        </w:tc>
      </w:tr>
      <w:tr w:rsidR="00A86E84" w:rsidTr="0003486E">
        <w:trPr>
          <w:trHeight w:val="428"/>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86E84" w:rsidRPr="00A07B70" w:rsidRDefault="00A86E84" w:rsidP="00541C94">
            <w:pPr>
              <w:widowControl/>
              <w:adjustRightInd w:val="0"/>
              <w:snapToGrid w:val="0"/>
              <w:spacing w:line="360" w:lineRule="auto"/>
              <w:jc w:val="center"/>
              <w:textAlignment w:val="center"/>
              <w:rPr>
                <w:rFonts w:ascii="宋体" w:hAnsi="宋体" w:cs="宋体"/>
                <w:kern w:val="0"/>
                <w:szCs w:val="21"/>
              </w:rPr>
            </w:pPr>
            <w:r w:rsidRPr="00A07B70">
              <w:rPr>
                <w:rFonts w:ascii="宋体" w:hAnsi="宋体" w:cs="宋体"/>
                <w:kern w:val="0"/>
                <w:szCs w:val="21"/>
              </w:rPr>
              <w:t>SiOx-OPP</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86E84" w:rsidRPr="0003486E" w:rsidRDefault="00A86E84" w:rsidP="00541C94">
            <w:pPr>
              <w:widowControl/>
              <w:adjustRightInd w:val="0"/>
              <w:snapToGrid w:val="0"/>
              <w:spacing w:line="360" w:lineRule="auto"/>
              <w:jc w:val="center"/>
              <w:textAlignment w:val="center"/>
              <w:rPr>
                <w:rFonts w:ascii="宋体" w:hAnsi="宋体" w:cs="宋体"/>
                <w:kern w:val="0"/>
                <w:szCs w:val="21"/>
              </w:rPr>
            </w:pPr>
            <w:r w:rsidRPr="0003486E">
              <w:rPr>
                <w:rFonts w:ascii="宋体" w:hAnsi="宋体" w:cs="宋体" w:hint="eastAsia"/>
                <w:kern w:val="0"/>
                <w:szCs w:val="21"/>
              </w:rPr>
              <w:t>镀氧化硅-拉伸聚丙烯</w:t>
            </w:r>
          </w:p>
        </w:tc>
      </w:tr>
      <w:tr w:rsidR="00A86E84" w:rsidTr="0003486E">
        <w:trPr>
          <w:trHeight w:val="428"/>
          <w:jc w:val="center"/>
        </w:trPr>
        <w:tc>
          <w:tcPr>
            <w:tcW w:w="2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86E84" w:rsidRPr="00A07B70" w:rsidRDefault="00A86E84" w:rsidP="00541C94">
            <w:pPr>
              <w:widowControl/>
              <w:adjustRightInd w:val="0"/>
              <w:snapToGrid w:val="0"/>
              <w:spacing w:line="360" w:lineRule="auto"/>
              <w:jc w:val="center"/>
              <w:textAlignment w:val="center"/>
              <w:rPr>
                <w:rFonts w:ascii="宋体" w:hAnsi="宋体" w:cs="宋体"/>
                <w:kern w:val="0"/>
                <w:szCs w:val="21"/>
              </w:rPr>
            </w:pPr>
            <w:r w:rsidRPr="00A07B70">
              <w:rPr>
                <w:rFonts w:ascii="宋体" w:hAnsi="宋体" w:cs="宋体"/>
                <w:kern w:val="0"/>
                <w:szCs w:val="21"/>
              </w:rPr>
              <w:t>OPA</w:t>
            </w:r>
          </w:p>
        </w:tc>
        <w:tc>
          <w:tcPr>
            <w:tcW w:w="34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86E84" w:rsidRPr="0003486E" w:rsidRDefault="00A86E84" w:rsidP="00541C94">
            <w:pPr>
              <w:widowControl/>
              <w:adjustRightInd w:val="0"/>
              <w:snapToGrid w:val="0"/>
              <w:spacing w:line="360" w:lineRule="auto"/>
              <w:jc w:val="center"/>
              <w:textAlignment w:val="center"/>
              <w:rPr>
                <w:rFonts w:ascii="宋体" w:hAnsi="宋体" w:cs="宋体"/>
                <w:kern w:val="0"/>
                <w:sz w:val="18"/>
                <w:szCs w:val="21"/>
              </w:rPr>
            </w:pPr>
            <w:r w:rsidRPr="0003486E">
              <w:rPr>
                <w:rFonts w:ascii="宋体" w:hAnsi="宋体" w:cs="宋体" w:hint="eastAsia"/>
                <w:kern w:val="0"/>
                <w:szCs w:val="21"/>
              </w:rPr>
              <w:t>聚酰胺</w:t>
            </w:r>
          </w:p>
        </w:tc>
      </w:tr>
    </w:tbl>
    <w:p w:rsidR="00AC7711" w:rsidRDefault="00DF6DB4">
      <w:pPr>
        <w:adjustRightInd w:val="0"/>
        <w:snapToGrid w:val="0"/>
        <w:spacing w:line="360" w:lineRule="auto"/>
        <w:ind w:firstLineChars="200" w:firstLine="420"/>
        <w:rPr>
          <w:rFonts w:cs="宋体"/>
          <w:szCs w:val="21"/>
        </w:rPr>
      </w:pPr>
      <w:r>
        <w:rPr>
          <w:rFonts w:cs="宋体" w:hint="eastAsia"/>
          <w:szCs w:val="21"/>
        </w:rPr>
        <w:t>注：不在上述之列的材料应遵从规范的材料名称和英文缩写。</w:t>
      </w:r>
    </w:p>
    <w:p w:rsidR="00AC7711" w:rsidRDefault="00AC7711">
      <w:pPr>
        <w:adjustRightInd w:val="0"/>
        <w:snapToGrid w:val="0"/>
        <w:spacing w:line="360" w:lineRule="auto"/>
        <w:ind w:firstLineChars="200" w:firstLine="420"/>
        <w:rPr>
          <w:rFonts w:cs="宋体"/>
          <w:szCs w:val="21"/>
        </w:rPr>
      </w:pPr>
    </w:p>
    <w:p w:rsidR="00AC7711" w:rsidRDefault="00DF6DB4">
      <w:pPr>
        <w:suppressLineNumbers/>
        <w:adjustRightInd w:val="0"/>
        <w:snapToGrid w:val="0"/>
        <w:spacing w:line="360" w:lineRule="auto"/>
        <w:rPr>
          <w:b/>
          <w:szCs w:val="21"/>
        </w:rPr>
      </w:pPr>
      <w:bookmarkStart w:id="11" w:name="_Hlk129620925"/>
      <w:bookmarkStart w:id="12" w:name="_Hlk106658883"/>
      <w:r>
        <w:rPr>
          <w:b/>
          <w:szCs w:val="21"/>
        </w:rPr>
        <w:lastRenderedPageBreak/>
        <w:t>_______________________________________</w:t>
      </w:r>
      <w:r>
        <w:rPr>
          <w:rFonts w:hint="eastAsia"/>
          <w:b/>
          <w:szCs w:val="21"/>
        </w:rPr>
        <w:t>_</w:t>
      </w:r>
      <w:r>
        <w:rPr>
          <w:b/>
          <w:szCs w:val="21"/>
        </w:rPr>
        <w:t>_____________________________</w:t>
      </w:r>
    </w:p>
    <w:p w:rsidR="00AC7711" w:rsidRDefault="00DF6DB4">
      <w:pPr>
        <w:suppressLineNumbers/>
        <w:adjustRightInd w:val="0"/>
        <w:snapToGrid w:val="0"/>
        <w:spacing w:line="360" w:lineRule="auto"/>
        <w:rPr>
          <w:szCs w:val="21"/>
        </w:rPr>
      </w:pPr>
      <w:r>
        <w:rPr>
          <w:rFonts w:hint="eastAsia"/>
          <w:szCs w:val="21"/>
        </w:rPr>
        <w:t>起草单位：江西省药品检验检测研究院联系电话：</w:t>
      </w:r>
      <w:r>
        <w:rPr>
          <w:rFonts w:hint="eastAsia"/>
          <w:szCs w:val="21"/>
        </w:rPr>
        <w:t>079</w:t>
      </w:r>
      <w:r>
        <w:rPr>
          <w:szCs w:val="21"/>
        </w:rPr>
        <w:t>1-8</w:t>
      </w:r>
      <w:r>
        <w:rPr>
          <w:rFonts w:hint="eastAsia"/>
          <w:szCs w:val="21"/>
        </w:rPr>
        <w:t>6208379</w:t>
      </w:r>
    </w:p>
    <w:p w:rsidR="00D85038" w:rsidRDefault="00DF6DB4" w:rsidP="009058E3">
      <w:pPr>
        <w:suppressLineNumbers/>
        <w:adjustRightInd w:val="0"/>
        <w:snapToGrid w:val="0"/>
        <w:spacing w:line="360" w:lineRule="auto"/>
        <w:rPr>
          <w:szCs w:val="21"/>
        </w:rPr>
      </w:pPr>
      <w:r>
        <w:rPr>
          <w:rFonts w:hint="eastAsia"/>
          <w:szCs w:val="21"/>
        </w:rPr>
        <w:t>参与单位：中国食品药品检定研究院、国家食品药品监督管理局药品包装材料科研检验中心、安徽省食品药品检验研究院、浙江省食品药品检验研究院、江苏省医疗器械检验所、山西省检验检测中心、广东省医疗器械质量监督检验所包装材料容器检验中心、江西雅太药用包装有限公司、江苏中金玛泰医药包装有限公司、江阴宝柏包装有限公司、常州市华健药用包装有限公司</w:t>
      </w:r>
    </w:p>
    <w:p w:rsidR="009058E3" w:rsidRPr="009058E3" w:rsidRDefault="009058E3" w:rsidP="009058E3">
      <w:pPr>
        <w:suppressLineNumbers/>
        <w:adjustRightInd w:val="0"/>
        <w:snapToGrid w:val="0"/>
        <w:spacing w:line="360" w:lineRule="auto"/>
        <w:rPr>
          <w:szCs w:val="21"/>
        </w:rPr>
      </w:pPr>
    </w:p>
    <w:p w:rsidR="00AC7711" w:rsidRDefault="00DF6DB4">
      <w:pPr>
        <w:widowControl/>
        <w:suppressLineNumbers/>
        <w:adjustRightInd w:val="0"/>
        <w:snapToGrid w:val="0"/>
        <w:spacing w:line="360" w:lineRule="auto"/>
        <w:ind w:firstLineChars="200" w:firstLine="482"/>
        <w:jc w:val="center"/>
        <w:rPr>
          <w:b/>
          <w:bCs/>
          <w:sz w:val="24"/>
          <w:szCs w:val="24"/>
        </w:rPr>
      </w:pPr>
      <w:r>
        <w:rPr>
          <w:rFonts w:hint="eastAsia"/>
          <w:b/>
          <w:bCs/>
          <w:sz w:val="24"/>
          <w:szCs w:val="24"/>
        </w:rPr>
        <w:t>口服固体药用</w:t>
      </w:r>
      <w:r>
        <w:rPr>
          <w:b/>
          <w:bCs/>
          <w:sz w:val="24"/>
          <w:szCs w:val="24"/>
        </w:rPr>
        <w:t>复合膜</w:t>
      </w:r>
      <w:bookmarkEnd w:id="11"/>
      <w:r>
        <w:rPr>
          <w:rFonts w:hint="eastAsia"/>
          <w:b/>
          <w:bCs/>
          <w:sz w:val="24"/>
          <w:szCs w:val="24"/>
        </w:rPr>
        <w:t>及袋</w:t>
      </w:r>
      <w:r>
        <w:rPr>
          <w:b/>
          <w:bCs/>
          <w:sz w:val="24"/>
          <w:szCs w:val="24"/>
        </w:rPr>
        <w:t>通则</w:t>
      </w:r>
      <w:bookmarkEnd w:id="12"/>
      <w:r>
        <w:rPr>
          <w:rFonts w:hint="eastAsia"/>
          <w:b/>
          <w:bCs/>
          <w:sz w:val="24"/>
          <w:szCs w:val="24"/>
        </w:rPr>
        <w:t>起草</w:t>
      </w:r>
      <w:r>
        <w:rPr>
          <w:b/>
          <w:bCs/>
          <w:sz w:val="24"/>
          <w:szCs w:val="24"/>
        </w:rPr>
        <w:t>说明</w:t>
      </w:r>
    </w:p>
    <w:p w:rsidR="00AC7711" w:rsidRDefault="00DF6DB4">
      <w:pPr>
        <w:widowControl/>
        <w:suppressLineNumbers/>
        <w:adjustRightInd w:val="0"/>
        <w:snapToGrid w:val="0"/>
        <w:spacing w:line="360" w:lineRule="auto"/>
        <w:ind w:firstLineChars="200" w:firstLine="422"/>
        <w:rPr>
          <w:b/>
          <w:bCs/>
          <w:szCs w:val="21"/>
        </w:rPr>
      </w:pPr>
      <w:r>
        <w:rPr>
          <w:rFonts w:hint="eastAsia"/>
          <w:b/>
          <w:bCs/>
          <w:szCs w:val="21"/>
        </w:rPr>
        <w:t>一、制修订的目的意义</w:t>
      </w:r>
    </w:p>
    <w:p w:rsidR="00AC7711" w:rsidRDefault="00DF6DB4">
      <w:pPr>
        <w:widowControl/>
        <w:suppressLineNumbers/>
        <w:adjustRightInd w:val="0"/>
        <w:snapToGrid w:val="0"/>
        <w:spacing w:line="360" w:lineRule="auto"/>
        <w:ind w:firstLineChars="200" w:firstLine="420"/>
        <w:rPr>
          <w:szCs w:val="21"/>
        </w:rPr>
      </w:pPr>
      <w:r>
        <w:rPr>
          <w:rFonts w:hint="eastAsia"/>
          <w:szCs w:val="21"/>
        </w:rPr>
        <w:t>目前</w:t>
      </w:r>
      <w:r>
        <w:rPr>
          <w:rFonts w:hint="eastAsia"/>
          <w:szCs w:val="21"/>
        </w:rPr>
        <w:t>YBB</w:t>
      </w:r>
      <w:r>
        <w:rPr>
          <w:rFonts w:hint="eastAsia"/>
          <w:szCs w:val="21"/>
        </w:rPr>
        <w:t>标准体系中，复合膜涉及的标准有</w:t>
      </w:r>
      <w:r>
        <w:rPr>
          <w:rFonts w:hint="eastAsia"/>
          <w:szCs w:val="21"/>
        </w:rPr>
        <w:t>1</w:t>
      </w:r>
      <w:r>
        <w:rPr>
          <w:rFonts w:hint="eastAsia"/>
          <w:szCs w:val="21"/>
        </w:rPr>
        <w:t>个通则标准</w:t>
      </w:r>
      <w:r>
        <w:rPr>
          <w:rFonts w:hint="eastAsia"/>
          <w:szCs w:val="21"/>
        </w:rPr>
        <w:t>[</w:t>
      </w:r>
      <w:r>
        <w:rPr>
          <w:rFonts w:hint="eastAsia"/>
          <w:szCs w:val="21"/>
        </w:rPr>
        <w:t>药用复合膜、袋通则（</w:t>
      </w:r>
      <w:r>
        <w:rPr>
          <w:rFonts w:hint="eastAsia"/>
          <w:szCs w:val="21"/>
        </w:rPr>
        <w:t>YBB00132002-2015</w:t>
      </w:r>
      <w:r>
        <w:rPr>
          <w:rFonts w:hint="eastAsia"/>
          <w:szCs w:val="21"/>
        </w:rPr>
        <w:t>）</w:t>
      </w:r>
      <w:r>
        <w:rPr>
          <w:rFonts w:hint="eastAsia"/>
          <w:szCs w:val="21"/>
        </w:rPr>
        <w:t>]</w:t>
      </w:r>
      <w:r>
        <w:rPr>
          <w:rFonts w:hint="eastAsia"/>
          <w:szCs w:val="21"/>
        </w:rPr>
        <w:t>，</w:t>
      </w:r>
      <w:r>
        <w:rPr>
          <w:rFonts w:hint="eastAsia"/>
          <w:szCs w:val="21"/>
        </w:rPr>
        <w:t>5</w:t>
      </w:r>
      <w:r>
        <w:rPr>
          <w:rFonts w:hint="eastAsia"/>
          <w:szCs w:val="21"/>
        </w:rPr>
        <w:t>个品种标准</w:t>
      </w:r>
      <w:r>
        <w:rPr>
          <w:rFonts w:hint="eastAsia"/>
          <w:szCs w:val="21"/>
        </w:rPr>
        <w:t>[</w:t>
      </w:r>
      <w:r>
        <w:rPr>
          <w:rFonts w:hint="eastAsia"/>
          <w:szCs w:val="21"/>
        </w:rPr>
        <w:t>聚酯</w:t>
      </w:r>
      <w:r>
        <w:rPr>
          <w:rFonts w:hint="eastAsia"/>
          <w:szCs w:val="21"/>
        </w:rPr>
        <w:t>/</w:t>
      </w:r>
      <w:r>
        <w:rPr>
          <w:rFonts w:hint="eastAsia"/>
          <w:szCs w:val="21"/>
        </w:rPr>
        <w:t>铝</w:t>
      </w:r>
      <w:r>
        <w:rPr>
          <w:rFonts w:hint="eastAsia"/>
          <w:szCs w:val="21"/>
        </w:rPr>
        <w:t>/</w:t>
      </w:r>
      <w:r>
        <w:rPr>
          <w:rFonts w:hint="eastAsia"/>
          <w:szCs w:val="21"/>
        </w:rPr>
        <w:t>聚乙烯药用复合膜、袋（</w:t>
      </w:r>
      <w:r>
        <w:rPr>
          <w:rFonts w:hint="eastAsia"/>
          <w:szCs w:val="21"/>
        </w:rPr>
        <w:t>YBB00172002-2015</w:t>
      </w:r>
      <w:r>
        <w:rPr>
          <w:rFonts w:hint="eastAsia"/>
          <w:szCs w:val="21"/>
        </w:rPr>
        <w:t>）、聚酯</w:t>
      </w:r>
      <w:r>
        <w:rPr>
          <w:rFonts w:hint="eastAsia"/>
          <w:szCs w:val="21"/>
        </w:rPr>
        <w:t>/</w:t>
      </w:r>
      <w:r>
        <w:rPr>
          <w:rFonts w:hint="eastAsia"/>
          <w:szCs w:val="21"/>
        </w:rPr>
        <w:t>低密度聚乙烯药用复合膜、袋（</w:t>
      </w:r>
      <w:r>
        <w:rPr>
          <w:rFonts w:hint="eastAsia"/>
          <w:szCs w:val="21"/>
        </w:rPr>
        <w:t>YBB00182002-2015</w:t>
      </w:r>
      <w:r>
        <w:rPr>
          <w:rFonts w:hint="eastAsia"/>
          <w:szCs w:val="21"/>
        </w:rPr>
        <w:t>）、双向拉伸聚丙烯</w:t>
      </w:r>
      <w:r>
        <w:rPr>
          <w:rFonts w:hint="eastAsia"/>
          <w:szCs w:val="21"/>
        </w:rPr>
        <w:t>/</w:t>
      </w:r>
      <w:r>
        <w:rPr>
          <w:rFonts w:hint="eastAsia"/>
          <w:szCs w:val="21"/>
        </w:rPr>
        <w:t>低密度聚乙烯药用复合膜、袋（</w:t>
      </w:r>
      <w:r>
        <w:rPr>
          <w:rFonts w:hint="eastAsia"/>
          <w:szCs w:val="21"/>
        </w:rPr>
        <w:t>YBB00192002-2015</w:t>
      </w:r>
      <w:r>
        <w:rPr>
          <w:rFonts w:hint="eastAsia"/>
          <w:szCs w:val="21"/>
        </w:rPr>
        <w:t>）、双向拉伸聚丙烯</w:t>
      </w:r>
      <w:r>
        <w:rPr>
          <w:rFonts w:hint="eastAsia"/>
          <w:szCs w:val="21"/>
        </w:rPr>
        <w:t>/</w:t>
      </w:r>
      <w:r>
        <w:rPr>
          <w:rFonts w:hint="eastAsia"/>
          <w:szCs w:val="21"/>
        </w:rPr>
        <w:t>真空镀铝流延聚丙烯药用复合膜、袋（</w:t>
      </w:r>
      <w:r>
        <w:rPr>
          <w:rFonts w:hint="eastAsia"/>
          <w:szCs w:val="21"/>
        </w:rPr>
        <w:t>YBB00192004-2015</w:t>
      </w:r>
      <w:r>
        <w:rPr>
          <w:rFonts w:hint="eastAsia"/>
          <w:szCs w:val="21"/>
        </w:rPr>
        <w:t>）、玻璃纸</w:t>
      </w:r>
      <w:r>
        <w:rPr>
          <w:rFonts w:hint="eastAsia"/>
          <w:szCs w:val="21"/>
        </w:rPr>
        <w:t>/</w:t>
      </w:r>
      <w:r>
        <w:rPr>
          <w:rFonts w:hint="eastAsia"/>
          <w:szCs w:val="21"/>
        </w:rPr>
        <w:t>铝</w:t>
      </w:r>
      <w:r>
        <w:rPr>
          <w:rFonts w:hint="eastAsia"/>
          <w:szCs w:val="21"/>
        </w:rPr>
        <w:t>/</w:t>
      </w:r>
      <w:r>
        <w:rPr>
          <w:rFonts w:hint="eastAsia"/>
          <w:szCs w:val="21"/>
        </w:rPr>
        <w:t>聚乙烯药用复合膜、袋（</w:t>
      </w:r>
      <w:r>
        <w:rPr>
          <w:rFonts w:hint="eastAsia"/>
          <w:szCs w:val="21"/>
        </w:rPr>
        <w:t>YBB00202004-2015</w:t>
      </w:r>
      <w:r>
        <w:rPr>
          <w:rFonts w:hint="eastAsia"/>
          <w:szCs w:val="21"/>
        </w:rPr>
        <w:t>）</w:t>
      </w:r>
      <w:r>
        <w:rPr>
          <w:rFonts w:hint="eastAsia"/>
          <w:szCs w:val="21"/>
        </w:rPr>
        <w:t>]</w:t>
      </w:r>
      <w:r>
        <w:rPr>
          <w:rFonts w:hint="eastAsia"/>
          <w:szCs w:val="21"/>
        </w:rPr>
        <w:t>。</w:t>
      </w:r>
      <w:r>
        <w:rPr>
          <w:rFonts w:hint="eastAsia"/>
          <w:szCs w:val="21"/>
        </w:rPr>
        <w:t>1</w:t>
      </w:r>
      <w:r>
        <w:rPr>
          <w:rFonts w:hint="eastAsia"/>
          <w:szCs w:val="21"/>
        </w:rPr>
        <w:t>个通则适用范围为非注射剂，</w:t>
      </w:r>
      <w:r>
        <w:rPr>
          <w:rFonts w:hint="eastAsia"/>
          <w:szCs w:val="21"/>
        </w:rPr>
        <w:t>5</w:t>
      </w:r>
      <w:r>
        <w:rPr>
          <w:rFonts w:hint="eastAsia"/>
          <w:szCs w:val="21"/>
        </w:rPr>
        <w:t>个品种标准适用范围为固体制剂。随着科技的进步，越来越多的新材料、新工艺的应用，现有标准难以满足需要。通过本通则的修订，规范口服固体药用塑料复合膜及袋的基本质量控制要求，促进相关企业对该产品关键质量属性的理解，提升相关方对口服固体药用复合膜及袋在生产和使用环节的质控水平。</w:t>
      </w:r>
    </w:p>
    <w:p w:rsidR="00AC7711" w:rsidRDefault="00DF6DB4">
      <w:pPr>
        <w:widowControl/>
        <w:suppressLineNumbers/>
        <w:adjustRightInd w:val="0"/>
        <w:snapToGrid w:val="0"/>
        <w:spacing w:line="360" w:lineRule="auto"/>
        <w:ind w:leftChars="200" w:left="420"/>
        <w:rPr>
          <w:b/>
          <w:bCs/>
          <w:szCs w:val="21"/>
        </w:rPr>
      </w:pPr>
      <w:r>
        <w:rPr>
          <w:rFonts w:hint="eastAsia"/>
          <w:b/>
          <w:bCs/>
          <w:szCs w:val="21"/>
        </w:rPr>
        <w:t>二、制修订的总体思路</w:t>
      </w:r>
    </w:p>
    <w:p w:rsidR="00AC7711" w:rsidRDefault="00DF6DB4">
      <w:pPr>
        <w:widowControl/>
        <w:suppressLineNumbers/>
        <w:adjustRightInd w:val="0"/>
        <w:snapToGrid w:val="0"/>
        <w:spacing w:line="360" w:lineRule="auto"/>
        <w:ind w:firstLineChars="200" w:firstLine="420"/>
        <w:rPr>
          <w:szCs w:val="21"/>
        </w:rPr>
      </w:pPr>
      <w:r>
        <w:rPr>
          <w:rFonts w:hint="eastAsia"/>
          <w:szCs w:val="21"/>
        </w:rPr>
        <w:t>在塑料中通则（通则</w:t>
      </w:r>
      <w:r>
        <w:rPr>
          <w:rFonts w:hint="eastAsia"/>
          <w:szCs w:val="21"/>
        </w:rPr>
        <w:t xml:space="preserve"> 5300 </w:t>
      </w:r>
      <w:r>
        <w:rPr>
          <w:rFonts w:hint="eastAsia"/>
          <w:szCs w:val="21"/>
        </w:rPr>
        <w:t>药品包装用塑料容器及组件）的基础之上，结合现有</w:t>
      </w:r>
      <w:r>
        <w:rPr>
          <w:rFonts w:hint="eastAsia"/>
          <w:szCs w:val="21"/>
        </w:rPr>
        <w:t>6</w:t>
      </w:r>
      <w:r>
        <w:rPr>
          <w:rFonts w:hint="eastAsia"/>
          <w:szCs w:val="21"/>
        </w:rPr>
        <w:t>个</w:t>
      </w:r>
      <w:r>
        <w:rPr>
          <w:rFonts w:hint="eastAsia"/>
          <w:szCs w:val="21"/>
        </w:rPr>
        <w:t>Y</w:t>
      </w:r>
      <w:r>
        <w:rPr>
          <w:szCs w:val="21"/>
        </w:rPr>
        <w:t>BB</w:t>
      </w:r>
      <w:r>
        <w:rPr>
          <w:rFonts w:hint="eastAsia"/>
          <w:szCs w:val="21"/>
        </w:rPr>
        <w:t>复合膜相关标准制订完成，主要用于口服固体药用复合膜及袋的质量控制。</w:t>
      </w:r>
    </w:p>
    <w:p w:rsidR="00AC7711" w:rsidRDefault="00DF6DB4">
      <w:pPr>
        <w:widowControl/>
        <w:suppressLineNumbers/>
        <w:adjustRightInd w:val="0"/>
        <w:snapToGrid w:val="0"/>
        <w:spacing w:line="360" w:lineRule="auto"/>
        <w:ind w:firstLineChars="200" w:firstLine="422"/>
        <w:rPr>
          <w:b/>
          <w:bCs/>
          <w:szCs w:val="21"/>
        </w:rPr>
      </w:pPr>
      <w:r>
        <w:rPr>
          <w:rFonts w:hint="eastAsia"/>
          <w:b/>
          <w:bCs/>
          <w:szCs w:val="21"/>
        </w:rPr>
        <w:t>三、需要重点说明的内容</w:t>
      </w:r>
    </w:p>
    <w:p w:rsidR="00AC7711" w:rsidRDefault="00DF6DB4">
      <w:pPr>
        <w:pStyle w:val="a4"/>
        <w:suppressLineNumbers/>
        <w:adjustRightInd w:val="0"/>
        <w:snapToGrid w:val="0"/>
        <w:spacing w:line="360" w:lineRule="auto"/>
        <w:ind w:firstLineChars="200" w:firstLine="422"/>
        <w:rPr>
          <w:rFonts w:eastAsiaTheme="majorEastAsia"/>
          <w:b/>
          <w:bCs/>
          <w:szCs w:val="21"/>
        </w:rPr>
      </w:pPr>
      <w:r>
        <w:rPr>
          <w:rFonts w:eastAsiaTheme="majorEastAsia" w:hint="eastAsia"/>
          <w:b/>
          <w:bCs/>
          <w:szCs w:val="21"/>
        </w:rPr>
        <w:t>1</w:t>
      </w:r>
      <w:r>
        <w:rPr>
          <w:rFonts w:eastAsiaTheme="majorEastAsia"/>
          <w:b/>
          <w:bCs/>
          <w:szCs w:val="21"/>
        </w:rPr>
        <w:t>.</w:t>
      </w:r>
      <w:r>
        <w:rPr>
          <w:rFonts w:eastAsiaTheme="majorEastAsia" w:hint="eastAsia"/>
          <w:b/>
          <w:bCs/>
          <w:szCs w:val="21"/>
        </w:rPr>
        <w:t>阻隔性能</w:t>
      </w:r>
      <w:r w:rsidR="002B2BD6">
        <w:rPr>
          <w:rFonts w:eastAsiaTheme="majorEastAsia" w:hint="eastAsia"/>
          <w:b/>
          <w:bCs/>
          <w:szCs w:val="21"/>
        </w:rPr>
        <w:t xml:space="preserve"> </w:t>
      </w:r>
      <w:r>
        <w:rPr>
          <w:rFonts w:hint="eastAsia"/>
          <w:szCs w:val="21"/>
        </w:rPr>
        <w:t>塑料复合膜应有一定的阻隔性能，在包装药品时提供有效的保护。本通则依据《国家药包材标准》药用复合膜、袋通则（</w:t>
      </w:r>
      <w:r>
        <w:rPr>
          <w:szCs w:val="21"/>
        </w:rPr>
        <w:t>YBB00132002-2015</w:t>
      </w:r>
      <w:r>
        <w:rPr>
          <w:rFonts w:hint="eastAsia"/>
          <w:szCs w:val="21"/>
        </w:rPr>
        <w:t>）及其相关的</w:t>
      </w:r>
      <w:r>
        <w:rPr>
          <w:szCs w:val="21"/>
        </w:rPr>
        <w:t>5</w:t>
      </w:r>
      <w:r>
        <w:rPr>
          <w:rFonts w:hint="eastAsia"/>
          <w:szCs w:val="21"/>
        </w:rPr>
        <w:t>个品种标准中规定检验和评价，同时对不同阻隔性能的复合模进行了分级判定，按照生产单位和使用单位的实际使用和需求情况分为高、中、低三级。特殊性产品也可按照</w:t>
      </w:r>
      <w:r>
        <w:rPr>
          <w:rFonts w:cs="宋体" w:hint="eastAsia"/>
          <w:szCs w:val="21"/>
        </w:rPr>
        <w:t>企业标准或质量协议</w:t>
      </w:r>
      <w:r>
        <w:rPr>
          <w:rFonts w:hint="eastAsia"/>
          <w:szCs w:val="21"/>
        </w:rPr>
        <w:t>内容进行评价。对于复合袋这种密闭的包装件，则结合临床实际应用，对复合袋的阻隔性能风险进行充分的评估，必要时进行验证和控制。</w:t>
      </w:r>
    </w:p>
    <w:p w:rsidR="00AC7711" w:rsidRDefault="00DF6DB4">
      <w:pPr>
        <w:suppressLineNumbers/>
        <w:adjustRightInd w:val="0"/>
        <w:snapToGrid w:val="0"/>
        <w:spacing w:line="360" w:lineRule="auto"/>
        <w:ind w:firstLineChars="200" w:firstLine="422"/>
        <w:rPr>
          <w:rFonts w:eastAsiaTheme="majorEastAsia"/>
          <w:b/>
          <w:bCs/>
          <w:szCs w:val="21"/>
        </w:rPr>
      </w:pPr>
      <w:r>
        <w:rPr>
          <w:rFonts w:eastAsiaTheme="majorEastAsia"/>
          <w:b/>
          <w:bCs/>
          <w:szCs w:val="21"/>
        </w:rPr>
        <w:t>2.</w:t>
      </w:r>
      <w:r>
        <w:rPr>
          <w:rFonts w:eastAsiaTheme="majorEastAsia" w:hint="eastAsia"/>
          <w:b/>
          <w:bCs/>
          <w:szCs w:val="21"/>
        </w:rPr>
        <w:t>剥离强度</w:t>
      </w:r>
      <w:r w:rsidR="002B2BD6">
        <w:rPr>
          <w:rFonts w:eastAsiaTheme="majorEastAsia" w:hint="eastAsia"/>
          <w:b/>
          <w:bCs/>
          <w:szCs w:val="21"/>
        </w:rPr>
        <w:t xml:space="preserve"> </w:t>
      </w:r>
      <w:r>
        <w:rPr>
          <w:rFonts w:eastAsiaTheme="majorEastAsia" w:hint="eastAsia"/>
          <w:szCs w:val="21"/>
        </w:rPr>
        <w:t>本项目规定适用于内层与次内层采用粘合剂复合工艺的复合膜。塑料复合膜为多层材料复合工艺生产，本通则依据《国家药包材标准》</w:t>
      </w:r>
      <w:bookmarkStart w:id="13" w:name="_Hlk97112379"/>
      <w:r>
        <w:rPr>
          <w:rFonts w:eastAsiaTheme="majorEastAsia" w:hint="eastAsia"/>
          <w:szCs w:val="21"/>
        </w:rPr>
        <w:t>药用复合膜、袋通则（</w:t>
      </w:r>
      <w:r>
        <w:rPr>
          <w:rFonts w:eastAsiaTheme="majorEastAsia"/>
          <w:szCs w:val="21"/>
        </w:rPr>
        <w:t>YBB00132002-2015</w:t>
      </w:r>
      <w:r>
        <w:rPr>
          <w:rFonts w:eastAsiaTheme="majorEastAsia" w:hint="eastAsia"/>
          <w:szCs w:val="21"/>
        </w:rPr>
        <w:t>）及其相关的</w:t>
      </w:r>
      <w:r>
        <w:rPr>
          <w:rFonts w:eastAsiaTheme="majorEastAsia"/>
          <w:szCs w:val="21"/>
        </w:rPr>
        <w:t>5</w:t>
      </w:r>
      <w:r>
        <w:rPr>
          <w:rFonts w:eastAsiaTheme="majorEastAsia" w:hint="eastAsia"/>
          <w:szCs w:val="21"/>
        </w:rPr>
        <w:t>个品种标准中规定</w:t>
      </w:r>
      <w:bookmarkEnd w:id="13"/>
      <w:r>
        <w:rPr>
          <w:rFonts w:eastAsiaTheme="majorEastAsia" w:hint="eastAsia"/>
          <w:szCs w:val="21"/>
        </w:rPr>
        <w:t>，设置常用的≥</w:t>
      </w:r>
      <w:r>
        <w:rPr>
          <w:rFonts w:eastAsiaTheme="majorEastAsia" w:hint="eastAsia"/>
          <w:szCs w:val="21"/>
        </w:rPr>
        <w:t>2.5</w:t>
      </w:r>
      <w:r>
        <w:rPr>
          <w:rFonts w:eastAsiaTheme="majorEastAsia"/>
          <w:szCs w:val="21"/>
        </w:rPr>
        <w:t>N/15mm</w:t>
      </w:r>
      <w:r>
        <w:rPr>
          <w:rFonts w:eastAsiaTheme="majorEastAsia" w:hint="eastAsia"/>
          <w:szCs w:val="21"/>
        </w:rPr>
        <w:t>和≥</w:t>
      </w:r>
      <w:r>
        <w:rPr>
          <w:rFonts w:eastAsiaTheme="majorEastAsia" w:hint="eastAsia"/>
          <w:szCs w:val="21"/>
        </w:rPr>
        <w:t>1.0N/15mm</w:t>
      </w:r>
      <w:r>
        <w:rPr>
          <w:rFonts w:eastAsiaTheme="majorEastAsia" w:hint="eastAsia"/>
          <w:szCs w:val="21"/>
        </w:rPr>
        <w:t>两个限度级别，根据调研结果，对于其中特殊的包装小规格制剂用复合膜、袋单独设置一级，限度根据实际使用场景和调研结果限度设置为≥</w:t>
      </w:r>
      <w:r>
        <w:rPr>
          <w:rFonts w:eastAsiaTheme="majorEastAsia" w:hint="eastAsia"/>
          <w:szCs w:val="21"/>
        </w:rPr>
        <w:t>0.5N/15mm</w:t>
      </w:r>
      <w:r>
        <w:rPr>
          <w:rFonts w:eastAsiaTheme="majorEastAsia" w:hint="eastAsia"/>
          <w:szCs w:val="21"/>
        </w:rPr>
        <w:t>，并根据《中国</w:t>
      </w:r>
      <w:r>
        <w:rPr>
          <w:rFonts w:eastAsiaTheme="majorEastAsia" w:hint="eastAsia"/>
          <w:szCs w:val="21"/>
        </w:rPr>
        <w:lastRenderedPageBreak/>
        <w:t>药典》通则</w:t>
      </w:r>
      <w:r>
        <w:rPr>
          <w:rFonts w:eastAsiaTheme="majorEastAsia"/>
          <w:szCs w:val="21"/>
        </w:rPr>
        <w:t>4004</w:t>
      </w:r>
      <w:r>
        <w:rPr>
          <w:rFonts w:eastAsiaTheme="majorEastAsia" w:hint="eastAsia"/>
          <w:szCs w:val="21"/>
        </w:rPr>
        <w:t>剥离强度测定方法进行</w:t>
      </w:r>
      <w:r>
        <w:rPr>
          <w:rFonts w:eastAsiaTheme="majorEastAsia"/>
          <w:szCs w:val="21"/>
        </w:rPr>
        <w:t>检验</w:t>
      </w:r>
      <w:r>
        <w:rPr>
          <w:rFonts w:eastAsiaTheme="majorEastAsia" w:hint="eastAsia"/>
          <w:szCs w:val="21"/>
        </w:rPr>
        <w:t>。</w:t>
      </w:r>
    </w:p>
    <w:p w:rsidR="00AC7711" w:rsidRDefault="00DF6DB4">
      <w:pPr>
        <w:suppressLineNumbers/>
        <w:adjustRightInd w:val="0"/>
        <w:snapToGrid w:val="0"/>
        <w:spacing w:line="360" w:lineRule="auto"/>
        <w:ind w:firstLineChars="200" w:firstLine="422"/>
        <w:rPr>
          <w:rFonts w:eastAsiaTheme="majorEastAsia"/>
          <w:b/>
          <w:bCs/>
          <w:szCs w:val="21"/>
        </w:rPr>
      </w:pPr>
      <w:r>
        <w:rPr>
          <w:rFonts w:eastAsiaTheme="majorEastAsia"/>
          <w:b/>
          <w:bCs/>
          <w:szCs w:val="21"/>
        </w:rPr>
        <w:t>3.</w:t>
      </w:r>
      <w:r>
        <w:rPr>
          <w:rFonts w:eastAsiaTheme="majorEastAsia" w:hint="eastAsia"/>
          <w:b/>
          <w:bCs/>
          <w:szCs w:val="21"/>
        </w:rPr>
        <w:t>热合强度</w:t>
      </w:r>
      <w:r w:rsidR="002B2BD6">
        <w:rPr>
          <w:rFonts w:eastAsiaTheme="majorEastAsia" w:hint="eastAsia"/>
          <w:b/>
          <w:bCs/>
          <w:szCs w:val="21"/>
        </w:rPr>
        <w:t xml:space="preserve"> </w:t>
      </w:r>
      <w:r>
        <w:rPr>
          <w:rFonts w:eastAsiaTheme="majorEastAsia" w:hint="eastAsia"/>
          <w:szCs w:val="21"/>
        </w:rPr>
        <w:t>本通则按照药用复合膜、袋通则（</w:t>
      </w:r>
      <w:r>
        <w:rPr>
          <w:rFonts w:eastAsiaTheme="majorEastAsia"/>
          <w:szCs w:val="21"/>
        </w:rPr>
        <w:t>YBB00132002-2015</w:t>
      </w:r>
      <w:r>
        <w:rPr>
          <w:rFonts w:eastAsiaTheme="majorEastAsia" w:hint="eastAsia"/>
          <w:szCs w:val="21"/>
        </w:rPr>
        <w:t>）及其相关的</w:t>
      </w:r>
      <w:r>
        <w:rPr>
          <w:rFonts w:eastAsiaTheme="majorEastAsia"/>
          <w:szCs w:val="21"/>
        </w:rPr>
        <w:t>5</w:t>
      </w:r>
      <w:r>
        <w:rPr>
          <w:rFonts w:eastAsiaTheme="majorEastAsia" w:hint="eastAsia"/>
          <w:szCs w:val="21"/>
        </w:rPr>
        <w:t>个品种标准中规定检验和评价，设置常用的≥</w:t>
      </w:r>
      <w:r>
        <w:rPr>
          <w:rFonts w:eastAsiaTheme="majorEastAsia" w:hint="eastAsia"/>
          <w:szCs w:val="21"/>
        </w:rPr>
        <w:t>12.0N/15mm</w:t>
      </w:r>
      <w:r>
        <w:rPr>
          <w:rFonts w:eastAsiaTheme="majorEastAsia" w:hint="eastAsia"/>
          <w:szCs w:val="21"/>
        </w:rPr>
        <w:t>和≥</w:t>
      </w:r>
      <w:r>
        <w:rPr>
          <w:rFonts w:eastAsiaTheme="majorEastAsia" w:hint="eastAsia"/>
          <w:szCs w:val="21"/>
        </w:rPr>
        <w:t>7.0N/15mm</w:t>
      </w:r>
      <w:r>
        <w:rPr>
          <w:rFonts w:eastAsiaTheme="majorEastAsia" w:hint="eastAsia"/>
          <w:szCs w:val="21"/>
        </w:rPr>
        <w:t>两个限度级别，对于其中特殊类型</w:t>
      </w:r>
      <w:r>
        <w:rPr>
          <w:rFonts w:hint="eastAsia"/>
          <w:bCs/>
          <w:szCs w:val="21"/>
        </w:rPr>
        <w:t>易揭类型的复合膜或袋进行单独设置一级，限度根据实际使用场景和调研结果限度设置为≥</w:t>
      </w:r>
      <w:r>
        <w:rPr>
          <w:rFonts w:hint="eastAsia"/>
          <w:bCs/>
          <w:szCs w:val="21"/>
        </w:rPr>
        <w:t>3.0N/15mm</w:t>
      </w:r>
      <w:r>
        <w:rPr>
          <w:rFonts w:hint="eastAsia"/>
          <w:bCs/>
          <w:szCs w:val="21"/>
        </w:rPr>
        <w:t>，</w:t>
      </w:r>
      <w:r>
        <w:rPr>
          <w:rFonts w:eastAsiaTheme="majorEastAsia" w:hint="eastAsia"/>
          <w:szCs w:val="21"/>
        </w:rPr>
        <w:t>并根据《中国药典》通则</w:t>
      </w:r>
      <w:r>
        <w:rPr>
          <w:rFonts w:eastAsiaTheme="majorEastAsia" w:hint="eastAsia"/>
          <w:szCs w:val="21"/>
        </w:rPr>
        <w:t>4008</w:t>
      </w:r>
      <w:r>
        <w:rPr>
          <w:rFonts w:hint="eastAsia"/>
          <w:szCs w:val="21"/>
        </w:rPr>
        <w:t>热合强度</w:t>
      </w:r>
      <w:r>
        <w:rPr>
          <w:szCs w:val="21"/>
        </w:rPr>
        <w:t>测定法</w:t>
      </w:r>
      <w:r>
        <w:rPr>
          <w:rFonts w:eastAsiaTheme="majorEastAsia" w:hint="eastAsia"/>
          <w:szCs w:val="21"/>
        </w:rPr>
        <w:t>进行检验。</w:t>
      </w:r>
    </w:p>
    <w:p w:rsidR="00AC7711" w:rsidRDefault="00DF6DB4">
      <w:pPr>
        <w:suppressLineNumbers/>
        <w:adjustRightInd w:val="0"/>
        <w:snapToGrid w:val="0"/>
        <w:spacing w:line="360" w:lineRule="auto"/>
        <w:ind w:firstLineChars="200" w:firstLine="422"/>
        <w:rPr>
          <w:rFonts w:eastAsiaTheme="majorEastAsia"/>
          <w:b/>
          <w:bCs/>
          <w:szCs w:val="21"/>
        </w:rPr>
      </w:pPr>
      <w:r>
        <w:rPr>
          <w:rFonts w:eastAsiaTheme="majorEastAsia"/>
          <w:b/>
          <w:bCs/>
          <w:szCs w:val="21"/>
        </w:rPr>
        <w:t>4.</w:t>
      </w:r>
      <w:r>
        <w:rPr>
          <w:rFonts w:eastAsiaTheme="majorEastAsia" w:hint="eastAsia"/>
          <w:b/>
          <w:bCs/>
          <w:szCs w:val="21"/>
        </w:rPr>
        <w:t>溶剂残留量</w:t>
      </w:r>
      <w:r w:rsidR="002B2BD6">
        <w:rPr>
          <w:rFonts w:eastAsiaTheme="majorEastAsia" w:hint="eastAsia"/>
          <w:b/>
          <w:bCs/>
          <w:szCs w:val="21"/>
        </w:rPr>
        <w:t xml:space="preserve"> </w:t>
      </w:r>
      <w:r>
        <w:rPr>
          <w:rFonts w:eastAsiaTheme="majorEastAsia" w:hint="eastAsia"/>
          <w:szCs w:val="21"/>
        </w:rPr>
        <w:t>复合膜、袋是由多种材料复合加工而成，原辅材料中有油墨、粘合剂、稀释溶剂等，生产过程中需要使用有机溶剂，为保证复合膜、袋在包装药品时安全有效，故对复合膜中有机溶剂的残留进行控制，为了减少各仪器精度之间的差异，在原有限度的基础上，明确苯类的检出限为</w:t>
      </w:r>
      <w:r>
        <w:rPr>
          <w:rFonts w:hint="eastAsia"/>
          <w:szCs w:val="21"/>
        </w:rPr>
        <w:t>0.01mg/m</w:t>
      </w:r>
      <w:r>
        <w:rPr>
          <w:rFonts w:hint="eastAsia"/>
          <w:szCs w:val="21"/>
          <w:vertAlign w:val="superscript"/>
        </w:rPr>
        <w:t>2</w:t>
      </w:r>
      <w:r>
        <w:rPr>
          <w:rFonts w:eastAsiaTheme="majorEastAsia" w:hint="eastAsia"/>
          <w:szCs w:val="21"/>
        </w:rPr>
        <w:t>，按照药包材溶剂残留量测定法（通则</w:t>
      </w:r>
      <w:r>
        <w:rPr>
          <w:rFonts w:eastAsiaTheme="majorEastAsia"/>
          <w:szCs w:val="21"/>
        </w:rPr>
        <w:t>4207</w:t>
      </w:r>
      <w:r>
        <w:rPr>
          <w:rFonts w:eastAsiaTheme="majorEastAsia" w:hint="eastAsia"/>
          <w:szCs w:val="21"/>
        </w:rPr>
        <w:t>）进行检验。</w:t>
      </w:r>
    </w:p>
    <w:p w:rsidR="00AC7711" w:rsidRDefault="00DF6DB4">
      <w:pPr>
        <w:suppressLineNumbers/>
        <w:adjustRightInd w:val="0"/>
        <w:snapToGrid w:val="0"/>
        <w:spacing w:line="360" w:lineRule="auto"/>
        <w:ind w:firstLineChars="200" w:firstLine="422"/>
        <w:rPr>
          <w:rFonts w:eastAsiaTheme="majorEastAsia"/>
          <w:b/>
          <w:bCs/>
          <w:szCs w:val="21"/>
        </w:rPr>
      </w:pPr>
      <w:r>
        <w:rPr>
          <w:rFonts w:eastAsiaTheme="majorEastAsia"/>
          <w:b/>
          <w:bCs/>
          <w:szCs w:val="21"/>
        </w:rPr>
        <w:t>5.</w:t>
      </w:r>
      <w:r>
        <w:rPr>
          <w:rFonts w:eastAsiaTheme="majorEastAsia" w:hint="eastAsia"/>
          <w:b/>
          <w:bCs/>
          <w:szCs w:val="21"/>
        </w:rPr>
        <w:t>附注</w:t>
      </w:r>
    </w:p>
    <w:p w:rsidR="00AC7711" w:rsidRDefault="00DF6DB4">
      <w:pPr>
        <w:suppressLineNumbers/>
        <w:adjustRightInd w:val="0"/>
        <w:snapToGrid w:val="0"/>
        <w:spacing w:line="360" w:lineRule="auto"/>
        <w:ind w:firstLineChars="200" w:firstLine="420"/>
        <w:rPr>
          <w:rFonts w:eastAsiaTheme="majorEastAsia"/>
          <w:color w:val="000000" w:themeColor="text1"/>
          <w:szCs w:val="21"/>
        </w:rPr>
      </w:pPr>
      <w:r>
        <w:rPr>
          <w:rFonts w:eastAsiaTheme="majorEastAsia" w:hint="eastAsia"/>
          <w:szCs w:val="21"/>
        </w:rPr>
        <w:t>附表</w:t>
      </w:r>
      <w:r>
        <w:rPr>
          <w:rFonts w:eastAsiaTheme="majorEastAsia"/>
          <w:color w:val="000000" w:themeColor="text1"/>
          <w:szCs w:val="21"/>
        </w:rPr>
        <w:t>A</w:t>
      </w:r>
      <w:r>
        <w:rPr>
          <w:rFonts w:eastAsiaTheme="majorEastAsia" w:hint="eastAsia"/>
          <w:color w:val="000000" w:themeColor="text1"/>
          <w:szCs w:val="21"/>
        </w:rPr>
        <w:t>列出常见复合膜种类的典型示例，药用复合膜按照材质结构组成可分为五类，有纸</w:t>
      </w:r>
      <w:r>
        <w:rPr>
          <w:rFonts w:eastAsiaTheme="majorEastAsia"/>
          <w:color w:val="000000" w:themeColor="text1"/>
          <w:szCs w:val="21"/>
        </w:rPr>
        <w:t>-</w:t>
      </w:r>
      <w:r>
        <w:rPr>
          <w:rFonts w:eastAsiaTheme="majorEastAsia" w:hint="eastAsia"/>
          <w:color w:val="000000" w:themeColor="text1"/>
          <w:szCs w:val="21"/>
        </w:rPr>
        <w:t>塑、塑</w:t>
      </w:r>
      <w:r>
        <w:rPr>
          <w:rFonts w:eastAsiaTheme="majorEastAsia"/>
          <w:color w:val="000000" w:themeColor="text1"/>
          <w:szCs w:val="21"/>
        </w:rPr>
        <w:t>-</w:t>
      </w:r>
      <w:r>
        <w:rPr>
          <w:rFonts w:eastAsiaTheme="majorEastAsia" w:hint="eastAsia"/>
          <w:color w:val="000000" w:themeColor="text1"/>
          <w:szCs w:val="21"/>
        </w:rPr>
        <w:t>塑、塑</w:t>
      </w:r>
      <w:r>
        <w:rPr>
          <w:rFonts w:eastAsiaTheme="majorEastAsia"/>
          <w:color w:val="000000" w:themeColor="text1"/>
          <w:szCs w:val="21"/>
        </w:rPr>
        <w:t>-</w:t>
      </w:r>
      <w:r>
        <w:rPr>
          <w:rFonts w:eastAsiaTheme="majorEastAsia" w:hint="eastAsia"/>
          <w:color w:val="000000" w:themeColor="text1"/>
          <w:szCs w:val="21"/>
        </w:rPr>
        <w:t>镀铝、纸或塑</w:t>
      </w:r>
      <w:r>
        <w:rPr>
          <w:rFonts w:eastAsiaTheme="majorEastAsia"/>
          <w:color w:val="000000" w:themeColor="text1"/>
          <w:szCs w:val="21"/>
        </w:rPr>
        <w:t>-</w:t>
      </w:r>
      <w:r>
        <w:rPr>
          <w:rFonts w:eastAsiaTheme="majorEastAsia" w:hint="eastAsia"/>
          <w:color w:val="000000" w:themeColor="text1"/>
          <w:szCs w:val="21"/>
        </w:rPr>
        <w:t>铝箔、多层塑料</w:t>
      </w:r>
      <w:r>
        <w:rPr>
          <w:rFonts w:eastAsiaTheme="majorEastAsia"/>
          <w:color w:val="000000" w:themeColor="text1"/>
          <w:szCs w:val="21"/>
        </w:rPr>
        <w:t>-</w:t>
      </w:r>
      <w:r>
        <w:rPr>
          <w:rFonts w:eastAsiaTheme="majorEastAsia" w:hint="eastAsia"/>
          <w:color w:val="000000" w:themeColor="text1"/>
          <w:szCs w:val="21"/>
        </w:rPr>
        <w:t>铝箔等，包括但不限于以上五种分类。</w:t>
      </w:r>
    </w:p>
    <w:p w:rsidR="00AC7711" w:rsidRDefault="00DF6DB4">
      <w:pPr>
        <w:suppressLineNumbers/>
        <w:adjustRightInd w:val="0"/>
        <w:snapToGrid w:val="0"/>
        <w:spacing w:line="360" w:lineRule="auto"/>
        <w:ind w:firstLineChars="200" w:firstLine="420"/>
        <w:rPr>
          <w:rFonts w:eastAsiaTheme="majorEastAsia"/>
          <w:color w:val="000000" w:themeColor="text1"/>
          <w:szCs w:val="21"/>
        </w:rPr>
      </w:pPr>
      <w:r>
        <w:rPr>
          <w:rFonts w:eastAsiaTheme="majorEastAsia" w:hint="eastAsia"/>
          <w:color w:val="000000" w:themeColor="text1"/>
          <w:szCs w:val="21"/>
        </w:rPr>
        <w:t>附表</w:t>
      </w:r>
      <w:r>
        <w:rPr>
          <w:rFonts w:eastAsiaTheme="majorEastAsia"/>
          <w:color w:val="000000" w:themeColor="text1"/>
          <w:szCs w:val="21"/>
        </w:rPr>
        <w:t>B</w:t>
      </w:r>
      <w:r>
        <w:rPr>
          <w:rFonts w:eastAsiaTheme="majorEastAsia" w:hint="eastAsia"/>
          <w:color w:val="000000" w:themeColor="text1"/>
          <w:szCs w:val="21"/>
        </w:rPr>
        <w:t>列出常用固体塑料药用复合膜品种的阻隔性能试验参数及性能指标，为根据原</w:t>
      </w:r>
      <w:r>
        <w:rPr>
          <w:rFonts w:eastAsiaTheme="majorEastAsia" w:hint="eastAsia"/>
          <w:color w:val="000000" w:themeColor="text1"/>
          <w:szCs w:val="21"/>
        </w:rPr>
        <w:t>Y</w:t>
      </w:r>
      <w:r>
        <w:rPr>
          <w:rFonts w:eastAsiaTheme="majorEastAsia"/>
          <w:color w:val="000000" w:themeColor="text1"/>
          <w:szCs w:val="21"/>
        </w:rPr>
        <w:t>BB</w:t>
      </w:r>
      <w:r>
        <w:rPr>
          <w:rFonts w:eastAsiaTheme="majorEastAsia" w:hint="eastAsia"/>
          <w:color w:val="000000" w:themeColor="text1"/>
          <w:szCs w:val="21"/>
        </w:rPr>
        <w:t>复合膜通则以及历年复合膜国抽数据结果得到，企业标准制定过程中可供参考。</w:t>
      </w:r>
    </w:p>
    <w:p w:rsidR="00AC7711" w:rsidRPr="00856B97" w:rsidRDefault="00DF6DB4" w:rsidP="00856B97">
      <w:pPr>
        <w:suppressLineNumbers/>
        <w:adjustRightInd w:val="0"/>
        <w:snapToGrid w:val="0"/>
        <w:spacing w:line="360" w:lineRule="auto"/>
        <w:ind w:firstLineChars="200" w:firstLine="420"/>
        <w:rPr>
          <w:rFonts w:eastAsiaTheme="majorEastAsia" w:hint="eastAsia"/>
          <w:szCs w:val="21"/>
        </w:rPr>
      </w:pPr>
      <w:r>
        <w:rPr>
          <w:rFonts w:eastAsiaTheme="majorEastAsia" w:hint="eastAsia"/>
          <w:color w:val="000000" w:themeColor="text1"/>
          <w:szCs w:val="21"/>
        </w:rPr>
        <w:t>为了规范各企业对产品缩写的表达，附表</w:t>
      </w:r>
      <w:r>
        <w:rPr>
          <w:rFonts w:eastAsiaTheme="majorEastAsia" w:hint="eastAsia"/>
          <w:color w:val="000000" w:themeColor="text1"/>
          <w:szCs w:val="21"/>
        </w:rPr>
        <w:t>C</w:t>
      </w:r>
      <w:r>
        <w:rPr>
          <w:rFonts w:eastAsiaTheme="majorEastAsia" w:hint="eastAsia"/>
          <w:color w:val="000000" w:themeColor="text1"/>
          <w:szCs w:val="21"/>
        </w:rPr>
        <w:t>列出常用膜材的英文</w:t>
      </w:r>
      <w:r>
        <w:rPr>
          <w:rFonts w:eastAsiaTheme="majorEastAsia" w:hint="eastAsia"/>
          <w:szCs w:val="21"/>
        </w:rPr>
        <w:t>缩写，未包含在内的可根据行业惯例命名。</w:t>
      </w:r>
      <w:bookmarkStart w:id="14" w:name="_GoBack"/>
      <w:bookmarkEnd w:id="14"/>
    </w:p>
    <w:sectPr w:rsidR="00AC7711" w:rsidRPr="00856B97" w:rsidSect="00AC7711">
      <w:headerReference w:type="default" r:id="rId8"/>
      <w:footerReference w:type="default" r:id="rId9"/>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411" w:rsidRDefault="00FF4411" w:rsidP="00AC7711">
      <w:pPr>
        <w:ind w:firstLine="420"/>
      </w:pPr>
      <w:r>
        <w:separator/>
      </w:r>
    </w:p>
  </w:endnote>
  <w:endnote w:type="continuationSeparator" w:id="0">
    <w:p w:rsidR="00FF4411" w:rsidRDefault="00FF4411" w:rsidP="00AC771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711" w:rsidRDefault="00FF4411">
    <w:pPr>
      <w:pStyle w:val="a8"/>
    </w:pPr>
    <w:r>
      <w:rPr>
        <w:noProof/>
      </w:rPr>
      <w:pict>
        <v:shapetype id="_x0000_t202" coordsize="21600,21600" o:spt="202" path="m,l,21600r21600,l21600,xe">
          <v:stroke joinstyle="miter"/>
          <v:path gradientshapeok="t" o:connecttype="rect"/>
        </v:shapetype>
        <v:shape id="文本框 1" o:spid="_x0000_s2060" type="#_x0000_t202" style="position:absolute;margin-left:0;margin-top:0;width:4.55pt;height:10.3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" filled="f" stroked="f" strokeweight=".5pt">
          <v:textbox style="mso-fit-shape-to-text:t" inset="0,0,0,0">
            <w:txbxContent>
              <w:p w:rsidR="00AC7711" w:rsidRDefault="00816B2F">
                <w:pPr>
                  <w:pStyle w:val="a8"/>
                </w:pPr>
                <w:r>
                  <w:fldChar w:fldCharType="begin"/>
                </w:r>
                <w:r w:rsidR="00DF6DB4">
                  <w:instrText xml:space="preserve"> PAGE  \* MERGEFORMAT </w:instrText>
                </w:r>
                <w:r>
                  <w:fldChar w:fldCharType="separate"/>
                </w:r>
                <w:r w:rsidR="00856B97">
                  <w:rPr>
                    <w:noProof/>
                  </w:rPr>
                  <w:t>6</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411" w:rsidRDefault="00FF4411" w:rsidP="00AC7711">
      <w:pPr>
        <w:ind w:firstLine="420"/>
      </w:pPr>
      <w:r>
        <w:separator/>
      </w:r>
    </w:p>
  </w:footnote>
  <w:footnote w:type="continuationSeparator" w:id="0">
    <w:p w:rsidR="00FF4411" w:rsidRDefault="00FF4411" w:rsidP="00AC7711">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711" w:rsidRDefault="00FF4411">
    <w:pPr>
      <w:pStyle w:val="a9"/>
      <w:jc w:val="right"/>
    </w:pPr>
    <w:sdt>
      <w:sdtPr>
        <w:rPr>
          <w:rFonts w:hint="eastAsia"/>
        </w:rPr>
        <w:id w:val="-367463244"/>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45986" o:spid="_x0000_s2059" type="#_x0000_t136" style="position:absolute;left:0;text-align:left;margin-left:0;margin-top:0;width:315pt;height:105pt;rotation:315;z-index:-251657216;mso-position-horizontal:center;mso-position-horizontal-relative:margin;mso-position-vertical:center;mso-position-vertical-relative:margin" o:allowincell="f" fillcolor="silver" stroked="f">
              <v:fill opacity=".5"/>
              <v:textpath style="font-family:&quot;宋体&quot;;font-size:105pt" fitpath="t" string="公示稿"/>
              <w10:wrap anchorx="margin" anchory="margin"/>
            </v:shape>
          </w:pict>
        </w:r>
      </w:sdtContent>
    </w:sdt>
    <w:r w:rsidR="00DF6DB4">
      <w:rPr>
        <w:rFonts w:hint="eastAsia"/>
      </w:rPr>
      <w:t>2023</w:t>
    </w:r>
    <w:r w:rsidR="00DF6DB4">
      <w:rPr>
        <w:rFonts w:hint="eastAsia"/>
      </w:rPr>
      <w:t>年</w:t>
    </w:r>
    <w:r w:rsidR="0003486E">
      <w:rPr>
        <w:rFonts w:hint="eastAsia"/>
        <w:color w:val="000000" w:themeColor="text1"/>
      </w:rPr>
      <w:t>9</w:t>
    </w:r>
    <w:r w:rsidR="00DF6DB4">
      <w:rPr>
        <w:rFonts w:hint="eastAsia"/>
      </w:rPr>
      <w:t>月</w:t>
    </w:r>
  </w:p>
  <w:p w:rsidR="00AC7711" w:rsidRDefault="00DF6DB4">
    <w:pPr>
      <w:pStyle w:val="a9"/>
      <w:jc w:val="right"/>
    </w:pPr>
    <w:r>
      <w:rPr>
        <w:rFonts w:hint="eastAsia"/>
      </w:rPr>
      <w:t>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cyNWQ5ZjMwZWE2YjMzNWVlMGJjYWU4YTQ2NWEwMzMifQ=="/>
  </w:docVars>
  <w:rsids>
    <w:rsidRoot w:val="00345106"/>
    <w:rsid w:val="0003486E"/>
    <w:rsid w:val="00046C15"/>
    <w:rsid w:val="00051D31"/>
    <w:rsid w:val="00070B89"/>
    <w:rsid w:val="000874B0"/>
    <w:rsid w:val="00092297"/>
    <w:rsid w:val="000E25D8"/>
    <w:rsid w:val="000F019B"/>
    <w:rsid w:val="000F553E"/>
    <w:rsid w:val="000F55E1"/>
    <w:rsid w:val="00145B2F"/>
    <w:rsid w:val="00151E5A"/>
    <w:rsid w:val="00161846"/>
    <w:rsid w:val="00165FB7"/>
    <w:rsid w:val="00171131"/>
    <w:rsid w:val="00192FC9"/>
    <w:rsid w:val="001A5A63"/>
    <w:rsid w:val="001A6C1F"/>
    <w:rsid w:val="001C1708"/>
    <w:rsid w:val="001D39CF"/>
    <w:rsid w:val="001E2E40"/>
    <w:rsid w:val="00223048"/>
    <w:rsid w:val="002333DF"/>
    <w:rsid w:val="00234520"/>
    <w:rsid w:val="00243E91"/>
    <w:rsid w:val="00250F6A"/>
    <w:rsid w:val="00255600"/>
    <w:rsid w:val="00271FAC"/>
    <w:rsid w:val="002860B8"/>
    <w:rsid w:val="00297299"/>
    <w:rsid w:val="002A0B28"/>
    <w:rsid w:val="002A6DCF"/>
    <w:rsid w:val="002B2BD6"/>
    <w:rsid w:val="002B56F7"/>
    <w:rsid w:val="002C19CC"/>
    <w:rsid w:val="002C47E3"/>
    <w:rsid w:val="002D4C7E"/>
    <w:rsid w:val="002E2C6B"/>
    <w:rsid w:val="002E3B0D"/>
    <w:rsid w:val="00323500"/>
    <w:rsid w:val="00342182"/>
    <w:rsid w:val="00345106"/>
    <w:rsid w:val="003478E7"/>
    <w:rsid w:val="00352B5F"/>
    <w:rsid w:val="0035343A"/>
    <w:rsid w:val="003537F3"/>
    <w:rsid w:val="00370975"/>
    <w:rsid w:val="00377389"/>
    <w:rsid w:val="0039603B"/>
    <w:rsid w:val="003A3145"/>
    <w:rsid w:val="003C3659"/>
    <w:rsid w:val="003D7F9E"/>
    <w:rsid w:val="003E285D"/>
    <w:rsid w:val="003F7D8C"/>
    <w:rsid w:val="00414DB5"/>
    <w:rsid w:val="004539C4"/>
    <w:rsid w:val="00454613"/>
    <w:rsid w:val="00455E09"/>
    <w:rsid w:val="004715AF"/>
    <w:rsid w:val="004766AE"/>
    <w:rsid w:val="00482AC6"/>
    <w:rsid w:val="00483D76"/>
    <w:rsid w:val="00496507"/>
    <w:rsid w:val="00497D08"/>
    <w:rsid w:val="004B4914"/>
    <w:rsid w:val="004C65F9"/>
    <w:rsid w:val="004D27DC"/>
    <w:rsid w:val="004D46C8"/>
    <w:rsid w:val="004E3409"/>
    <w:rsid w:val="004E564E"/>
    <w:rsid w:val="00533268"/>
    <w:rsid w:val="00536ABF"/>
    <w:rsid w:val="0054218B"/>
    <w:rsid w:val="00582FA4"/>
    <w:rsid w:val="005C5EE7"/>
    <w:rsid w:val="005F7540"/>
    <w:rsid w:val="00603614"/>
    <w:rsid w:val="00607733"/>
    <w:rsid w:val="0060779F"/>
    <w:rsid w:val="00622925"/>
    <w:rsid w:val="00623A77"/>
    <w:rsid w:val="00625CDF"/>
    <w:rsid w:val="00632B7B"/>
    <w:rsid w:val="00640C09"/>
    <w:rsid w:val="00681A7E"/>
    <w:rsid w:val="00681FBD"/>
    <w:rsid w:val="006A48C2"/>
    <w:rsid w:val="006A66FF"/>
    <w:rsid w:val="006C775A"/>
    <w:rsid w:val="006D3201"/>
    <w:rsid w:val="006D4FF3"/>
    <w:rsid w:val="006D53D7"/>
    <w:rsid w:val="006E1C65"/>
    <w:rsid w:val="006E57AD"/>
    <w:rsid w:val="00713D1D"/>
    <w:rsid w:val="007672C1"/>
    <w:rsid w:val="0077638F"/>
    <w:rsid w:val="00791793"/>
    <w:rsid w:val="007A2A85"/>
    <w:rsid w:val="007A7AE2"/>
    <w:rsid w:val="007B36C7"/>
    <w:rsid w:val="007B4A00"/>
    <w:rsid w:val="007F22E7"/>
    <w:rsid w:val="00816B2F"/>
    <w:rsid w:val="00824DF0"/>
    <w:rsid w:val="008439F7"/>
    <w:rsid w:val="008476BE"/>
    <w:rsid w:val="00856B97"/>
    <w:rsid w:val="00866D78"/>
    <w:rsid w:val="00873333"/>
    <w:rsid w:val="008828A6"/>
    <w:rsid w:val="00887E49"/>
    <w:rsid w:val="00894419"/>
    <w:rsid w:val="008B32D8"/>
    <w:rsid w:val="008C7214"/>
    <w:rsid w:val="008E58AC"/>
    <w:rsid w:val="009058E3"/>
    <w:rsid w:val="00910907"/>
    <w:rsid w:val="00910C67"/>
    <w:rsid w:val="00946E66"/>
    <w:rsid w:val="00950E4B"/>
    <w:rsid w:val="00967B01"/>
    <w:rsid w:val="009764F8"/>
    <w:rsid w:val="009826B7"/>
    <w:rsid w:val="00982E65"/>
    <w:rsid w:val="00993BA8"/>
    <w:rsid w:val="00994341"/>
    <w:rsid w:val="009965C4"/>
    <w:rsid w:val="009A5186"/>
    <w:rsid w:val="009C7686"/>
    <w:rsid w:val="009D1D7C"/>
    <w:rsid w:val="009E2447"/>
    <w:rsid w:val="009F7C10"/>
    <w:rsid w:val="00A0526A"/>
    <w:rsid w:val="00A07B70"/>
    <w:rsid w:val="00A11C78"/>
    <w:rsid w:val="00A13869"/>
    <w:rsid w:val="00A3562F"/>
    <w:rsid w:val="00A372DE"/>
    <w:rsid w:val="00A453A3"/>
    <w:rsid w:val="00A65F80"/>
    <w:rsid w:val="00A81C71"/>
    <w:rsid w:val="00A86E84"/>
    <w:rsid w:val="00AC21DE"/>
    <w:rsid w:val="00AC71A9"/>
    <w:rsid w:val="00AC7711"/>
    <w:rsid w:val="00AD7993"/>
    <w:rsid w:val="00AE21FF"/>
    <w:rsid w:val="00AE6B7A"/>
    <w:rsid w:val="00AF0F3C"/>
    <w:rsid w:val="00AF4901"/>
    <w:rsid w:val="00AF6A3B"/>
    <w:rsid w:val="00B032FE"/>
    <w:rsid w:val="00B24C9A"/>
    <w:rsid w:val="00B42D0C"/>
    <w:rsid w:val="00B65D2E"/>
    <w:rsid w:val="00B7625A"/>
    <w:rsid w:val="00B83E73"/>
    <w:rsid w:val="00B8635B"/>
    <w:rsid w:val="00B96450"/>
    <w:rsid w:val="00BA16CD"/>
    <w:rsid w:val="00BD1A2D"/>
    <w:rsid w:val="00C032C3"/>
    <w:rsid w:val="00C24FC4"/>
    <w:rsid w:val="00C304A6"/>
    <w:rsid w:val="00C4509A"/>
    <w:rsid w:val="00C4602E"/>
    <w:rsid w:val="00C5039F"/>
    <w:rsid w:val="00C5681D"/>
    <w:rsid w:val="00C63031"/>
    <w:rsid w:val="00C77E10"/>
    <w:rsid w:val="00C84F5B"/>
    <w:rsid w:val="00CB153A"/>
    <w:rsid w:val="00CB1E93"/>
    <w:rsid w:val="00CB6A86"/>
    <w:rsid w:val="00CB7A57"/>
    <w:rsid w:val="00CC4CD1"/>
    <w:rsid w:val="00CD24E1"/>
    <w:rsid w:val="00CD2BA5"/>
    <w:rsid w:val="00CF347B"/>
    <w:rsid w:val="00D2147A"/>
    <w:rsid w:val="00D24BDB"/>
    <w:rsid w:val="00D24C8D"/>
    <w:rsid w:val="00D27194"/>
    <w:rsid w:val="00D33882"/>
    <w:rsid w:val="00D51484"/>
    <w:rsid w:val="00D60028"/>
    <w:rsid w:val="00D67872"/>
    <w:rsid w:val="00D70A22"/>
    <w:rsid w:val="00D81BF8"/>
    <w:rsid w:val="00D81C68"/>
    <w:rsid w:val="00D85038"/>
    <w:rsid w:val="00D94264"/>
    <w:rsid w:val="00DA1DB6"/>
    <w:rsid w:val="00DB5B82"/>
    <w:rsid w:val="00DB653D"/>
    <w:rsid w:val="00DE1D2E"/>
    <w:rsid w:val="00DE771C"/>
    <w:rsid w:val="00DF1C08"/>
    <w:rsid w:val="00DF6DB4"/>
    <w:rsid w:val="00E06A5F"/>
    <w:rsid w:val="00E1197C"/>
    <w:rsid w:val="00E156DC"/>
    <w:rsid w:val="00E15F3F"/>
    <w:rsid w:val="00E2125C"/>
    <w:rsid w:val="00E451B5"/>
    <w:rsid w:val="00E471D8"/>
    <w:rsid w:val="00E6571F"/>
    <w:rsid w:val="00E67FF4"/>
    <w:rsid w:val="00E822C9"/>
    <w:rsid w:val="00E96D0D"/>
    <w:rsid w:val="00EA517C"/>
    <w:rsid w:val="00EA6977"/>
    <w:rsid w:val="00EB0BF0"/>
    <w:rsid w:val="00EF5B64"/>
    <w:rsid w:val="00F01F01"/>
    <w:rsid w:val="00F23AEB"/>
    <w:rsid w:val="00F32BC2"/>
    <w:rsid w:val="00F51E1E"/>
    <w:rsid w:val="00F643F8"/>
    <w:rsid w:val="00F96A66"/>
    <w:rsid w:val="00F9700D"/>
    <w:rsid w:val="00FA1401"/>
    <w:rsid w:val="00FA36A2"/>
    <w:rsid w:val="00FB2D8B"/>
    <w:rsid w:val="00FC7689"/>
    <w:rsid w:val="00FD5F26"/>
    <w:rsid w:val="00FE32E1"/>
    <w:rsid w:val="00FF4411"/>
    <w:rsid w:val="00FF756E"/>
    <w:rsid w:val="01EB6067"/>
    <w:rsid w:val="046F4FE3"/>
    <w:rsid w:val="063C4113"/>
    <w:rsid w:val="07B81856"/>
    <w:rsid w:val="07E86EA8"/>
    <w:rsid w:val="07F01FDA"/>
    <w:rsid w:val="090076D0"/>
    <w:rsid w:val="092E751F"/>
    <w:rsid w:val="09437E66"/>
    <w:rsid w:val="0992308F"/>
    <w:rsid w:val="0C92495B"/>
    <w:rsid w:val="0C986063"/>
    <w:rsid w:val="0ED079DC"/>
    <w:rsid w:val="0F0226CF"/>
    <w:rsid w:val="0F674F75"/>
    <w:rsid w:val="1017187A"/>
    <w:rsid w:val="10642ECB"/>
    <w:rsid w:val="11A868B1"/>
    <w:rsid w:val="14584928"/>
    <w:rsid w:val="145D5D8B"/>
    <w:rsid w:val="14A246CE"/>
    <w:rsid w:val="14E22B4C"/>
    <w:rsid w:val="153671CB"/>
    <w:rsid w:val="16AF53BE"/>
    <w:rsid w:val="170C2687"/>
    <w:rsid w:val="17173517"/>
    <w:rsid w:val="17E72A77"/>
    <w:rsid w:val="18DA7EE7"/>
    <w:rsid w:val="19341E7D"/>
    <w:rsid w:val="1A2633DF"/>
    <w:rsid w:val="1A920DFE"/>
    <w:rsid w:val="1BC25A64"/>
    <w:rsid w:val="1CB3587E"/>
    <w:rsid w:val="1E013A44"/>
    <w:rsid w:val="1F64035B"/>
    <w:rsid w:val="1F7F5247"/>
    <w:rsid w:val="21644DC6"/>
    <w:rsid w:val="21FC4F62"/>
    <w:rsid w:val="229A2672"/>
    <w:rsid w:val="22BD194B"/>
    <w:rsid w:val="22C425B6"/>
    <w:rsid w:val="22C95DFC"/>
    <w:rsid w:val="23C30A9D"/>
    <w:rsid w:val="249B013E"/>
    <w:rsid w:val="255274C4"/>
    <w:rsid w:val="264659B5"/>
    <w:rsid w:val="26C63524"/>
    <w:rsid w:val="27190353"/>
    <w:rsid w:val="275F5AC4"/>
    <w:rsid w:val="27FF1568"/>
    <w:rsid w:val="288E5800"/>
    <w:rsid w:val="28B42B65"/>
    <w:rsid w:val="28FD39DE"/>
    <w:rsid w:val="291F0759"/>
    <w:rsid w:val="29367E5A"/>
    <w:rsid w:val="297411FF"/>
    <w:rsid w:val="2A992604"/>
    <w:rsid w:val="2AE54F8E"/>
    <w:rsid w:val="2BC25ADE"/>
    <w:rsid w:val="2C367354"/>
    <w:rsid w:val="2D5F39E7"/>
    <w:rsid w:val="30563D6E"/>
    <w:rsid w:val="32D560F7"/>
    <w:rsid w:val="33AA215C"/>
    <w:rsid w:val="33C04643"/>
    <w:rsid w:val="33D74205"/>
    <w:rsid w:val="33E82D5D"/>
    <w:rsid w:val="33F11ADF"/>
    <w:rsid w:val="34F100BF"/>
    <w:rsid w:val="35842882"/>
    <w:rsid w:val="36A629A1"/>
    <w:rsid w:val="36A77DAA"/>
    <w:rsid w:val="37AB4531"/>
    <w:rsid w:val="39A4757E"/>
    <w:rsid w:val="39D979E5"/>
    <w:rsid w:val="3B1A176C"/>
    <w:rsid w:val="3B7F7174"/>
    <w:rsid w:val="3CF40653"/>
    <w:rsid w:val="3D524E28"/>
    <w:rsid w:val="3DEB3B8F"/>
    <w:rsid w:val="3EC350DD"/>
    <w:rsid w:val="3ECA7979"/>
    <w:rsid w:val="3FF37371"/>
    <w:rsid w:val="403930A2"/>
    <w:rsid w:val="40DF1663"/>
    <w:rsid w:val="41602049"/>
    <w:rsid w:val="42AB567A"/>
    <w:rsid w:val="42C316BC"/>
    <w:rsid w:val="43154C96"/>
    <w:rsid w:val="44775D0D"/>
    <w:rsid w:val="46730DBE"/>
    <w:rsid w:val="47A46C2B"/>
    <w:rsid w:val="48864C2F"/>
    <w:rsid w:val="491B669B"/>
    <w:rsid w:val="49BD48FC"/>
    <w:rsid w:val="49DA05D2"/>
    <w:rsid w:val="4A522D43"/>
    <w:rsid w:val="4A674CBC"/>
    <w:rsid w:val="4A9213E5"/>
    <w:rsid w:val="4B5375A2"/>
    <w:rsid w:val="4C1F46E3"/>
    <w:rsid w:val="4CAC67B9"/>
    <w:rsid w:val="4D7F1AE7"/>
    <w:rsid w:val="4DBD0EF2"/>
    <w:rsid w:val="4DDA6238"/>
    <w:rsid w:val="4DF36519"/>
    <w:rsid w:val="4ED517BF"/>
    <w:rsid w:val="50DD133C"/>
    <w:rsid w:val="510175EC"/>
    <w:rsid w:val="516D1C8A"/>
    <w:rsid w:val="529F293A"/>
    <w:rsid w:val="5363772A"/>
    <w:rsid w:val="54530804"/>
    <w:rsid w:val="5468108F"/>
    <w:rsid w:val="54DF20A5"/>
    <w:rsid w:val="54F86F7B"/>
    <w:rsid w:val="55035D70"/>
    <w:rsid w:val="550A7A2A"/>
    <w:rsid w:val="55DB5664"/>
    <w:rsid w:val="563C1F79"/>
    <w:rsid w:val="56736D18"/>
    <w:rsid w:val="575B77D6"/>
    <w:rsid w:val="57792C26"/>
    <w:rsid w:val="57D91092"/>
    <w:rsid w:val="57EF2D5C"/>
    <w:rsid w:val="58DF1825"/>
    <w:rsid w:val="598545FE"/>
    <w:rsid w:val="59976419"/>
    <w:rsid w:val="59FF18EA"/>
    <w:rsid w:val="5A331E50"/>
    <w:rsid w:val="5CFD7E74"/>
    <w:rsid w:val="5E9D7880"/>
    <w:rsid w:val="5F0F30B7"/>
    <w:rsid w:val="5FA978F4"/>
    <w:rsid w:val="5FBD3946"/>
    <w:rsid w:val="6052570E"/>
    <w:rsid w:val="606339A4"/>
    <w:rsid w:val="606E76DC"/>
    <w:rsid w:val="608E4559"/>
    <w:rsid w:val="60A817D7"/>
    <w:rsid w:val="60A84D9D"/>
    <w:rsid w:val="61526BC4"/>
    <w:rsid w:val="634B46C6"/>
    <w:rsid w:val="63882A3D"/>
    <w:rsid w:val="64BB2BDC"/>
    <w:rsid w:val="6566069C"/>
    <w:rsid w:val="664E5F15"/>
    <w:rsid w:val="66843639"/>
    <w:rsid w:val="669F239B"/>
    <w:rsid w:val="66A15DCA"/>
    <w:rsid w:val="679B7DED"/>
    <w:rsid w:val="679E5AF6"/>
    <w:rsid w:val="67AC6E53"/>
    <w:rsid w:val="69835D3E"/>
    <w:rsid w:val="699029A4"/>
    <w:rsid w:val="6A4E1D0F"/>
    <w:rsid w:val="6A5F66D3"/>
    <w:rsid w:val="6BB67B6C"/>
    <w:rsid w:val="6C1251DA"/>
    <w:rsid w:val="6C6D7506"/>
    <w:rsid w:val="6D0C2BF9"/>
    <w:rsid w:val="6E7266DD"/>
    <w:rsid w:val="6F935469"/>
    <w:rsid w:val="700D2392"/>
    <w:rsid w:val="73C90D1D"/>
    <w:rsid w:val="74F12765"/>
    <w:rsid w:val="755E013A"/>
    <w:rsid w:val="765A446B"/>
    <w:rsid w:val="787C56C3"/>
    <w:rsid w:val="78F90B99"/>
    <w:rsid w:val="792A707C"/>
    <w:rsid w:val="792F22B0"/>
    <w:rsid w:val="7A886EF0"/>
    <w:rsid w:val="7B874AED"/>
    <w:rsid w:val="7BA63759"/>
    <w:rsid w:val="7C4E53D0"/>
    <w:rsid w:val="7D6A2863"/>
    <w:rsid w:val="7E2E1F94"/>
    <w:rsid w:val="7E7510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2845D8F5"/>
  <w15:docId w15:val="{7CDD68BD-65D4-42A5-9100-FBB9EE38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unhideWhenUsed="1"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qFormat="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7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qFormat/>
    <w:rsid w:val="00AC7711"/>
    <w:pPr>
      <w:jc w:val="left"/>
    </w:pPr>
    <w:rPr>
      <w:szCs w:val="20"/>
    </w:rPr>
  </w:style>
  <w:style w:type="paragraph" w:styleId="a4">
    <w:name w:val="Body Text Indent"/>
    <w:basedOn w:val="a"/>
    <w:link w:val="a5"/>
    <w:qFormat/>
    <w:rsid w:val="00AC7711"/>
    <w:pPr>
      <w:spacing w:line="540" w:lineRule="exact"/>
      <w:ind w:firstLine="573"/>
    </w:pPr>
    <w:rPr>
      <w:szCs w:val="20"/>
    </w:rPr>
  </w:style>
  <w:style w:type="paragraph" w:styleId="a6">
    <w:name w:val="Balloon Text"/>
    <w:basedOn w:val="a"/>
    <w:link w:val="a7"/>
    <w:qFormat/>
    <w:rsid w:val="00AC7711"/>
    <w:rPr>
      <w:sz w:val="18"/>
      <w:szCs w:val="18"/>
    </w:rPr>
  </w:style>
  <w:style w:type="paragraph" w:styleId="a8">
    <w:name w:val="footer"/>
    <w:basedOn w:val="a"/>
    <w:qFormat/>
    <w:rsid w:val="00AC7711"/>
    <w:pPr>
      <w:tabs>
        <w:tab w:val="center" w:pos="4153"/>
        <w:tab w:val="right" w:pos="8306"/>
      </w:tabs>
      <w:snapToGrid w:val="0"/>
      <w:jc w:val="left"/>
    </w:pPr>
    <w:rPr>
      <w:sz w:val="18"/>
    </w:rPr>
  </w:style>
  <w:style w:type="paragraph" w:styleId="a9">
    <w:name w:val="header"/>
    <w:basedOn w:val="a"/>
    <w:link w:val="aa"/>
    <w:uiPriority w:val="99"/>
    <w:qFormat/>
    <w:rsid w:val="00AC771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footnote text"/>
    <w:basedOn w:val="a"/>
    <w:uiPriority w:val="99"/>
    <w:unhideWhenUsed/>
    <w:qFormat/>
    <w:rsid w:val="00AC7711"/>
    <w:pPr>
      <w:snapToGrid w:val="0"/>
      <w:jc w:val="left"/>
    </w:pPr>
    <w:rPr>
      <w:sz w:val="18"/>
      <w:szCs w:val="18"/>
    </w:rPr>
  </w:style>
  <w:style w:type="paragraph" w:styleId="ac">
    <w:name w:val="Normal (Web)"/>
    <w:basedOn w:val="a"/>
    <w:uiPriority w:val="99"/>
    <w:unhideWhenUsed/>
    <w:qFormat/>
    <w:rsid w:val="00AC7711"/>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ae"/>
    <w:qFormat/>
    <w:rsid w:val="00AC7711"/>
    <w:rPr>
      <w:b/>
      <w:bCs/>
      <w:szCs w:val="22"/>
    </w:rPr>
  </w:style>
  <w:style w:type="table" w:styleId="af">
    <w:name w:val="Table Grid"/>
    <w:basedOn w:val="a1"/>
    <w:uiPriority w:val="39"/>
    <w:qFormat/>
    <w:rsid w:val="00AC77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line number"/>
    <w:basedOn w:val="a0"/>
    <w:qFormat/>
    <w:rsid w:val="00AC7711"/>
  </w:style>
  <w:style w:type="character" w:styleId="af1">
    <w:name w:val="annotation reference"/>
    <w:basedOn w:val="a0"/>
    <w:qFormat/>
    <w:rsid w:val="00AC7711"/>
    <w:rPr>
      <w:sz w:val="21"/>
      <w:szCs w:val="21"/>
    </w:rPr>
  </w:style>
  <w:style w:type="character" w:styleId="af2">
    <w:name w:val="footnote reference"/>
    <w:uiPriority w:val="99"/>
    <w:unhideWhenUsed/>
    <w:qFormat/>
    <w:rsid w:val="00AC7711"/>
    <w:rPr>
      <w:vertAlign w:val="superscript"/>
    </w:rPr>
  </w:style>
  <w:style w:type="character" w:customStyle="1" w:styleId="af3">
    <w:name w:val="批注文字 字符"/>
    <w:basedOn w:val="a0"/>
    <w:qFormat/>
    <w:rsid w:val="00AC7711"/>
    <w:rPr>
      <w:kern w:val="2"/>
      <w:sz w:val="21"/>
    </w:rPr>
  </w:style>
  <w:style w:type="character" w:customStyle="1" w:styleId="1">
    <w:name w:val="批注文字 字符1"/>
    <w:basedOn w:val="a0"/>
    <w:link w:val="a3"/>
    <w:qFormat/>
    <w:rsid w:val="00AC7711"/>
    <w:rPr>
      <w:kern w:val="2"/>
      <w:sz w:val="21"/>
    </w:rPr>
  </w:style>
  <w:style w:type="character" w:customStyle="1" w:styleId="a5">
    <w:name w:val="正文文本缩进 字符"/>
    <w:basedOn w:val="a0"/>
    <w:link w:val="a4"/>
    <w:qFormat/>
    <w:rsid w:val="00AC7711"/>
    <w:rPr>
      <w:kern w:val="2"/>
      <w:sz w:val="21"/>
    </w:rPr>
  </w:style>
  <w:style w:type="paragraph" w:customStyle="1" w:styleId="10">
    <w:name w:val="修订1"/>
    <w:hidden/>
    <w:uiPriority w:val="99"/>
    <w:semiHidden/>
    <w:qFormat/>
    <w:rsid w:val="00AC7711"/>
    <w:rPr>
      <w:kern w:val="2"/>
      <w:sz w:val="21"/>
      <w:szCs w:val="22"/>
    </w:rPr>
  </w:style>
  <w:style w:type="character" w:customStyle="1" w:styleId="ae">
    <w:name w:val="批注主题 字符"/>
    <w:basedOn w:val="1"/>
    <w:link w:val="ad"/>
    <w:qFormat/>
    <w:rsid w:val="00AC7711"/>
    <w:rPr>
      <w:b/>
      <w:bCs/>
      <w:kern w:val="2"/>
      <w:sz w:val="21"/>
      <w:szCs w:val="22"/>
    </w:rPr>
  </w:style>
  <w:style w:type="paragraph" w:customStyle="1" w:styleId="2">
    <w:name w:val="修订2"/>
    <w:hidden/>
    <w:uiPriority w:val="99"/>
    <w:semiHidden/>
    <w:qFormat/>
    <w:rsid w:val="00AC7711"/>
    <w:rPr>
      <w:kern w:val="2"/>
      <w:sz w:val="21"/>
      <w:szCs w:val="22"/>
    </w:rPr>
  </w:style>
  <w:style w:type="paragraph" w:customStyle="1" w:styleId="3">
    <w:name w:val="修订3"/>
    <w:hidden/>
    <w:uiPriority w:val="99"/>
    <w:semiHidden/>
    <w:qFormat/>
    <w:rsid w:val="00AC7711"/>
    <w:rPr>
      <w:kern w:val="2"/>
      <w:sz w:val="21"/>
      <w:szCs w:val="22"/>
    </w:rPr>
  </w:style>
  <w:style w:type="paragraph" w:customStyle="1" w:styleId="4">
    <w:name w:val="修订4"/>
    <w:hidden/>
    <w:uiPriority w:val="99"/>
    <w:semiHidden/>
    <w:qFormat/>
    <w:rsid w:val="00AC7711"/>
    <w:rPr>
      <w:kern w:val="2"/>
      <w:sz w:val="21"/>
      <w:szCs w:val="22"/>
    </w:rPr>
  </w:style>
  <w:style w:type="paragraph" w:customStyle="1" w:styleId="5">
    <w:name w:val="修订5"/>
    <w:hidden/>
    <w:uiPriority w:val="99"/>
    <w:semiHidden/>
    <w:qFormat/>
    <w:rsid w:val="00AC7711"/>
    <w:rPr>
      <w:kern w:val="2"/>
      <w:sz w:val="21"/>
      <w:szCs w:val="22"/>
    </w:rPr>
  </w:style>
  <w:style w:type="paragraph" w:customStyle="1" w:styleId="6">
    <w:name w:val="修订6"/>
    <w:hidden/>
    <w:uiPriority w:val="99"/>
    <w:semiHidden/>
    <w:qFormat/>
    <w:rsid w:val="00AC7711"/>
    <w:rPr>
      <w:kern w:val="2"/>
      <w:sz w:val="21"/>
      <w:szCs w:val="22"/>
    </w:rPr>
  </w:style>
  <w:style w:type="paragraph" w:customStyle="1" w:styleId="7">
    <w:name w:val="修订7"/>
    <w:hidden/>
    <w:uiPriority w:val="99"/>
    <w:semiHidden/>
    <w:qFormat/>
    <w:rsid w:val="00AC7711"/>
    <w:rPr>
      <w:kern w:val="2"/>
      <w:sz w:val="21"/>
      <w:szCs w:val="22"/>
    </w:rPr>
  </w:style>
  <w:style w:type="paragraph" w:customStyle="1" w:styleId="8">
    <w:name w:val="修订8"/>
    <w:hidden/>
    <w:uiPriority w:val="99"/>
    <w:semiHidden/>
    <w:qFormat/>
    <w:rsid w:val="00AC7711"/>
    <w:rPr>
      <w:kern w:val="2"/>
      <w:sz w:val="21"/>
      <w:szCs w:val="22"/>
    </w:rPr>
  </w:style>
  <w:style w:type="paragraph" w:customStyle="1" w:styleId="9">
    <w:name w:val="修订9"/>
    <w:hidden/>
    <w:uiPriority w:val="99"/>
    <w:unhideWhenUsed/>
    <w:qFormat/>
    <w:rsid w:val="00AC7711"/>
    <w:rPr>
      <w:kern w:val="2"/>
      <w:sz w:val="21"/>
      <w:szCs w:val="22"/>
    </w:rPr>
  </w:style>
  <w:style w:type="character" w:customStyle="1" w:styleId="a7">
    <w:name w:val="批注框文本 字符"/>
    <w:basedOn w:val="a0"/>
    <w:link w:val="a6"/>
    <w:qFormat/>
    <w:rsid w:val="00AC7711"/>
    <w:rPr>
      <w:kern w:val="2"/>
      <w:sz w:val="18"/>
      <w:szCs w:val="18"/>
    </w:rPr>
  </w:style>
  <w:style w:type="character" w:customStyle="1" w:styleId="aa">
    <w:name w:val="页眉 字符"/>
    <w:basedOn w:val="a0"/>
    <w:link w:val="a9"/>
    <w:uiPriority w:val="99"/>
    <w:qFormat/>
    <w:rsid w:val="00AC7711"/>
    <w:rPr>
      <w:kern w:val="2"/>
      <w:sz w:val="18"/>
      <w:szCs w:val="22"/>
    </w:rPr>
  </w:style>
  <w:style w:type="paragraph" w:customStyle="1" w:styleId="100">
    <w:name w:val="修订10"/>
    <w:hidden/>
    <w:uiPriority w:val="99"/>
    <w:unhideWhenUsed/>
    <w:rsid w:val="00AC7711"/>
    <w:rPr>
      <w:kern w:val="2"/>
      <w:sz w:val="21"/>
      <w:szCs w:val="22"/>
    </w:rPr>
  </w:style>
  <w:style w:type="paragraph" w:styleId="af4">
    <w:name w:val="Revision"/>
    <w:hidden/>
    <w:uiPriority w:val="99"/>
    <w:semiHidden/>
    <w:rsid w:val="00887E4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151194-1427-46AC-883E-6B3A0DE5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799</Words>
  <Characters>4557</Characters>
  <Application>Microsoft Office Word</Application>
  <DocSecurity>0</DocSecurity>
  <Lines>37</Lines>
  <Paragraphs>10</Paragraphs>
  <ScaleCrop>false</ScaleCrop>
  <Company>Microsoft</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cl</cp:lastModifiedBy>
  <cp:revision>19</cp:revision>
  <cp:lastPrinted>2023-07-24T13:49:00Z</cp:lastPrinted>
  <dcterms:created xsi:type="dcterms:W3CDTF">2023-09-01T13:24:00Z</dcterms:created>
  <dcterms:modified xsi:type="dcterms:W3CDTF">2023-09-09T12:25:00Z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DD1DE57469A64137B8215B745630CB21_13</vt:lpwstr>
  </property>
</Properties>
</file>