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附件</w:t>
      </w:r>
      <w:r>
        <w:rPr>
          <w:rFonts w:hint="eastAsia" w:hAnsi="宋体"/>
          <w:b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Ansi="宋体"/>
          <w:b/>
          <w:sz w:val="24"/>
          <w:szCs w:val="24"/>
        </w:rPr>
        <w:t>-</w:t>
      </w:r>
      <w:r>
        <w:rPr>
          <w:rFonts w:hint="eastAsia" w:hAnsi="宋体"/>
          <w:b/>
          <w:sz w:val="24"/>
          <w:szCs w:val="24"/>
        </w:rPr>
        <w:t>5  玻璃容器垂直轴偏差和圆跳动测定法征求意见稿</w:t>
      </w:r>
    </w:p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</w:p>
    <w:p>
      <w:pPr>
        <w:spacing w:line="360" w:lineRule="auto"/>
        <w:ind w:firstLine="420"/>
        <w:jc w:val="center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4020玻璃容器垂直轴偏差和圆跳动测定法</w:t>
      </w:r>
    </w:p>
    <w:p>
      <w:pPr>
        <w:spacing w:line="360" w:lineRule="auto"/>
        <w:ind w:firstLine="4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垂直轴偏差</w:t>
      </w:r>
      <w:r>
        <w:rPr>
          <w:rFonts w:hint="eastAsia"/>
          <w:color w:val="000000"/>
          <w:sz w:val="24"/>
          <w:szCs w:val="24"/>
        </w:rPr>
        <w:t>系</w:t>
      </w:r>
      <w:r>
        <w:rPr>
          <w:color w:val="000000"/>
          <w:sz w:val="24"/>
          <w:szCs w:val="24"/>
        </w:rPr>
        <w:t>指玻璃瓶绕瓶底中心轴旋转一周时，瓶口的中心绕瓶底中心轴所作圆的直径的二分之一</w:t>
      </w:r>
      <w:r>
        <w:rPr>
          <w:rFonts w:hint="eastAsia"/>
          <w:color w:val="000000"/>
          <w:sz w:val="24"/>
          <w:szCs w:val="24"/>
        </w:rPr>
        <w:t>，是指</w:t>
      </w:r>
      <w:r>
        <w:rPr>
          <w:color w:val="000000"/>
          <w:sz w:val="24"/>
          <w:szCs w:val="24"/>
        </w:rPr>
        <w:t>瓶口的中心到通过瓶底中心垂直线的水平偏差。</w:t>
      </w:r>
      <w:r>
        <w:rPr>
          <w:rFonts w:hint="eastAsia"/>
          <w:color w:val="000000"/>
          <w:sz w:val="24"/>
          <w:szCs w:val="24"/>
        </w:rPr>
        <w:t>圆跳动系指</w:t>
      </w:r>
      <w:r>
        <w:rPr>
          <w:color w:val="000000"/>
          <w:sz w:val="24"/>
          <w:szCs w:val="24"/>
        </w:rPr>
        <w:t>玻璃</w:t>
      </w:r>
      <w:r>
        <w:rPr>
          <w:rFonts w:hint="eastAsia"/>
          <w:color w:val="000000"/>
          <w:sz w:val="24"/>
          <w:szCs w:val="24"/>
        </w:rPr>
        <w:t>安瓿</w:t>
      </w:r>
      <w:r>
        <w:rPr>
          <w:color w:val="000000"/>
          <w:sz w:val="24"/>
          <w:szCs w:val="24"/>
        </w:rPr>
        <w:t>绕瓶底中心轴旋转一周时</w:t>
      </w:r>
      <w:r>
        <w:rPr>
          <w:rFonts w:hint="eastAsia"/>
          <w:color w:val="000000"/>
          <w:sz w:val="24"/>
          <w:szCs w:val="24"/>
        </w:rPr>
        <w:t>，丝外径的最大变化量。</w:t>
      </w:r>
    </w:p>
    <w:p>
      <w:pPr>
        <w:spacing w:line="360" w:lineRule="auto"/>
        <w:ind w:firstLine="4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本法适用于形状为圆形</w:t>
      </w:r>
      <w:r>
        <w:rPr>
          <w:rFonts w:hint="eastAsia"/>
          <w:color w:val="000000"/>
          <w:sz w:val="24"/>
          <w:szCs w:val="24"/>
        </w:rPr>
        <w:t>或</w:t>
      </w:r>
      <w:r>
        <w:rPr>
          <w:color w:val="000000"/>
          <w:sz w:val="24"/>
          <w:szCs w:val="24"/>
        </w:rPr>
        <w:t>瓶底轴线可固定的药用玻璃瓶</w:t>
      </w:r>
      <w:r>
        <w:rPr>
          <w:rFonts w:hint="eastAsia"/>
          <w:color w:val="000000"/>
          <w:sz w:val="24"/>
          <w:szCs w:val="24"/>
        </w:rPr>
        <w:t>的</w:t>
      </w:r>
      <w:r>
        <w:rPr>
          <w:color w:val="000000"/>
          <w:sz w:val="24"/>
          <w:szCs w:val="24"/>
        </w:rPr>
        <w:t>垂直轴偏差</w:t>
      </w:r>
      <w:r>
        <w:rPr>
          <w:rFonts w:hint="eastAsia"/>
          <w:color w:val="000000"/>
          <w:sz w:val="24"/>
          <w:szCs w:val="24"/>
        </w:rPr>
        <w:t>或玻璃</w:t>
      </w:r>
      <w:r>
        <w:rPr>
          <w:color w:val="000000"/>
          <w:sz w:val="24"/>
          <w:szCs w:val="24"/>
        </w:rPr>
        <w:t>安瓿圆跳动的测定。</w:t>
      </w:r>
    </w:p>
    <w:p>
      <w:pPr>
        <w:tabs>
          <w:tab w:val="left" w:pos="5625"/>
        </w:tabs>
        <w:spacing w:line="360" w:lineRule="auto"/>
        <w:ind w:firstLine="42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仪器装置  </w:t>
      </w:r>
    </w:p>
    <w:p>
      <w:pPr>
        <w:tabs>
          <w:tab w:val="left" w:pos="5625"/>
        </w:tabs>
        <w:spacing w:line="360" w:lineRule="auto"/>
        <w:ind w:firstLine="42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垂直轴偏差仪或圆跳动仪应符合技术要求</w:t>
      </w:r>
      <w:r>
        <w:rPr>
          <w:color w:val="000000"/>
          <w:sz w:val="24"/>
          <w:szCs w:val="24"/>
        </w:rPr>
        <w:t>：</w:t>
      </w:r>
      <w:r>
        <w:rPr>
          <w:rFonts w:hint="eastAsia"/>
          <w:color w:val="000000"/>
          <w:sz w:val="24"/>
          <w:szCs w:val="24"/>
        </w:rPr>
        <w:t>应</w:t>
      </w:r>
      <w:r>
        <w:rPr>
          <w:color w:val="000000"/>
          <w:sz w:val="24"/>
          <w:szCs w:val="24"/>
        </w:rPr>
        <w:t>保证供试品瓶底水平放置时，可测得供试品瓶口中心与瓶底中心垂直轴的水平距离。有固定瓶底或保证瓶底与水平面的接触的方法或设备，可使瓶子旋转的底盘或可靠的旋转方法，保证瓶子在旋转过程中始终保持瓶底轴线的稳定。保证足够的高度且平行于瓶底轴线的立柱。立柱上可</w:t>
      </w:r>
      <w:r>
        <w:rPr>
          <w:rFonts w:hint="eastAsia"/>
          <w:color w:val="000000"/>
          <w:sz w:val="24"/>
          <w:szCs w:val="24"/>
        </w:rPr>
        <w:t>加</w:t>
      </w:r>
      <w:r>
        <w:rPr>
          <w:color w:val="000000"/>
          <w:sz w:val="24"/>
          <w:szCs w:val="24"/>
        </w:rPr>
        <w:t>装测量</w:t>
      </w:r>
      <w:r>
        <w:rPr>
          <w:rFonts w:hint="eastAsia"/>
          <w:color w:val="000000"/>
          <w:sz w:val="24"/>
          <w:szCs w:val="24"/>
        </w:rPr>
        <w:t>装置（如位移传感器、</w:t>
      </w:r>
      <w:r>
        <w:rPr>
          <w:color w:val="000000"/>
          <w:sz w:val="24"/>
          <w:szCs w:val="24"/>
        </w:rPr>
        <w:t>刻度尺、百分表或读数显微镜</w:t>
      </w:r>
      <w:r>
        <w:rPr>
          <w:rFonts w:hint="eastAsia"/>
          <w:color w:val="000000"/>
          <w:sz w:val="24"/>
          <w:szCs w:val="24"/>
        </w:rPr>
        <w:t>等）</w:t>
      </w:r>
      <w:r>
        <w:rPr>
          <w:color w:val="000000"/>
          <w:sz w:val="24"/>
          <w:szCs w:val="24"/>
        </w:rPr>
        <w:t>。</w:t>
      </w:r>
      <w:r>
        <w:rPr>
          <w:rFonts w:hint="eastAsia"/>
          <w:color w:val="000000"/>
          <w:sz w:val="24"/>
          <w:szCs w:val="24"/>
        </w:rPr>
        <w:t>测量装置与</w:t>
      </w:r>
      <w:r>
        <w:rPr>
          <w:color w:val="000000"/>
          <w:sz w:val="24"/>
          <w:szCs w:val="24"/>
        </w:rPr>
        <w:t>瓶口外沿接触</w:t>
      </w:r>
      <w:r>
        <w:rPr>
          <w:rFonts w:hint="eastAsia"/>
          <w:color w:val="000000"/>
          <w:sz w:val="24"/>
          <w:szCs w:val="24"/>
        </w:rPr>
        <w:t>，且</w:t>
      </w:r>
      <w:r>
        <w:rPr>
          <w:color w:val="000000"/>
          <w:sz w:val="24"/>
          <w:szCs w:val="24"/>
        </w:rPr>
        <w:t>有平行于瓶口外沿的接触平面，以保证在瓶口旋转过程中瓶口轴线变化有足够的接触。</w:t>
      </w:r>
    </w:p>
    <w:p>
      <w:pPr>
        <w:tabs>
          <w:tab w:val="left" w:pos="5625"/>
        </w:tabs>
        <w:spacing w:line="360" w:lineRule="auto"/>
        <w:ind w:firstLine="42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测定法  </w:t>
      </w:r>
    </w:p>
    <w:p>
      <w:pPr>
        <w:tabs>
          <w:tab w:val="left" w:pos="5625"/>
        </w:tabs>
        <w:spacing w:line="360" w:lineRule="auto"/>
        <w:ind w:firstLine="4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将供试品瓶底夹持固定在水平板的旋转盘上，</w:t>
      </w:r>
      <w:r>
        <w:rPr>
          <w:rFonts w:hint="eastAsia"/>
          <w:color w:val="000000"/>
          <w:sz w:val="24"/>
          <w:szCs w:val="24"/>
        </w:rPr>
        <w:t>垂直轴偏差测定时，</w:t>
      </w:r>
      <w:r>
        <w:rPr>
          <w:color w:val="000000"/>
          <w:sz w:val="24"/>
          <w:szCs w:val="24"/>
        </w:rPr>
        <w:t>使瓶口与</w:t>
      </w:r>
      <w:r>
        <w:rPr>
          <w:rFonts w:hint="eastAsia"/>
          <w:color w:val="000000"/>
          <w:sz w:val="24"/>
          <w:szCs w:val="24"/>
        </w:rPr>
        <w:t>测量装置</w:t>
      </w:r>
      <w:r>
        <w:rPr>
          <w:color w:val="000000"/>
          <w:sz w:val="24"/>
          <w:szCs w:val="24"/>
        </w:rPr>
        <w:t>接触旋转</w:t>
      </w:r>
      <w:r>
        <w:rPr>
          <w:rFonts w:hint="eastAsia"/>
          <w:color w:val="000000"/>
          <w:sz w:val="24"/>
          <w:szCs w:val="24"/>
        </w:rPr>
        <w:t>，</w:t>
      </w:r>
      <w:r>
        <w:rPr>
          <w:color w:val="000000"/>
          <w:sz w:val="24"/>
          <w:szCs w:val="24"/>
        </w:rPr>
        <w:t>360°读取最大值和最小值</w:t>
      </w:r>
      <w:r>
        <w:rPr>
          <w:rFonts w:hint="eastAsia"/>
          <w:color w:val="000000"/>
          <w:sz w:val="24"/>
          <w:szCs w:val="24"/>
        </w:rPr>
        <w:t>；圆跳动测定时，应将烧结点（熔封点）与测量装置接触，</w:t>
      </w:r>
      <w:r>
        <w:rPr>
          <w:color w:val="000000"/>
          <w:sz w:val="24"/>
          <w:szCs w:val="24"/>
        </w:rPr>
        <w:t>旋转360°读取最大值和最小值</w:t>
      </w:r>
      <w:r>
        <w:rPr>
          <w:rFonts w:hint="eastAsia"/>
          <w:color w:val="000000"/>
          <w:sz w:val="24"/>
          <w:szCs w:val="24"/>
        </w:rPr>
        <w:t>。</w:t>
      </w:r>
      <w:r>
        <w:rPr>
          <w:color w:val="000000"/>
          <w:sz w:val="24"/>
          <w:szCs w:val="24"/>
        </w:rPr>
        <w:t>如使用“V”形座测量时，则将</w:t>
      </w:r>
      <w:r>
        <w:rPr>
          <w:rFonts w:hint="eastAsia"/>
          <w:color w:val="000000"/>
          <w:sz w:val="24"/>
          <w:szCs w:val="24"/>
        </w:rPr>
        <w:t>供试</w:t>
      </w:r>
      <w:r>
        <w:rPr>
          <w:color w:val="000000"/>
          <w:sz w:val="24"/>
          <w:szCs w:val="24"/>
        </w:rPr>
        <w:t>品紧靠在“V”槽内，</w:t>
      </w:r>
      <w:r>
        <w:rPr>
          <w:rFonts w:hint="eastAsia"/>
          <w:color w:val="000000"/>
          <w:sz w:val="24"/>
          <w:szCs w:val="24"/>
        </w:rPr>
        <w:t>保证供试品固定不动，</w:t>
      </w:r>
      <w:r>
        <w:rPr>
          <w:color w:val="000000"/>
          <w:sz w:val="24"/>
          <w:szCs w:val="24"/>
        </w:rPr>
        <w:t>并旋转瓶子360°，读取最大值和最小值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tabs>
          <w:tab w:val="left" w:pos="5625"/>
        </w:tabs>
        <w:spacing w:line="360" w:lineRule="auto"/>
        <w:ind w:firstLine="422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结果计算和表示</w:t>
      </w:r>
    </w:p>
    <w:p>
      <w:pPr>
        <w:tabs>
          <w:tab w:val="left" w:pos="5625"/>
        </w:tabs>
        <w:spacing w:line="360" w:lineRule="auto"/>
        <w:ind w:firstLine="4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垂直轴偏</w:t>
      </w:r>
      <w:r>
        <w:rPr>
          <w:rFonts w:hint="eastAsia"/>
          <w:color w:val="000000"/>
          <w:sz w:val="24"/>
          <w:szCs w:val="24"/>
        </w:rPr>
        <w:t>结果由上述测定法中读取的</w:t>
      </w:r>
      <w:r>
        <w:rPr>
          <w:color w:val="000000"/>
          <w:sz w:val="24"/>
          <w:szCs w:val="24"/>
        </w:rPr>
        <w:t>最大值与最小值之差的二分之一</w:t>
      </w:r>
      <w:r>
        <w:rPr>
          <w:rFonts w:hint="eastAsia"/>
          <w:color w:val="000000"/>
          <w:sz w:val="24"/>
          <w:szCs w:val="24"/>
        </w:rPr>
        <w:t>表示。</w:t>
      </w:r>
    </w:p>
    <w:p>
      <w:pPr>
        <w:tabs>
          <w:tab w:val="left" w:pos="5625"/>
        </w:tabs>
        <w:spacing w:line="360" w:lineRule="auto"/>
        <w:ind w:firstLine="42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圆跳动结果由上述测定法中读取的</w:t>
      </w:r>
      <w:r>
        <w:rPr>
          <w:color w:val="000000"/>
          <w:sz w:val="24"/>
          <w:szCs w:val="24"/>
        </w:rPr>
        <w:t>最大值与最小值之差</w:t>
      </w:r>
      <w:r>
        <w:rPr>
          <w:rFonts w:hint="eastAsia"/>
          <w:color w:val="000000"/>
          <w:sz w:val="24"/>
          <w:szCs w:val="24"/>
        </w:rPr>
        <w:t>表示。</w:t>
      </w:r>
    </w:p>
    <w:p>
      <w:pPr>
        <w:tabs>
          <w:tab w:val="left" w:pos="5625"/>
        </w:tabs>
        <w:spacing w:line="360" w:lineRule="auto"/>
        <w:ind w:firstLine="4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测量数值精</w:t>
      </w:r>
      <w:r>
        <w:rPr>
          <w:rFonts w:hint="eastAsia"/>
          <w:color w:val="000000"/>
          <w:sz w:val="24"/>
          <w:szCs w:val="24"/>
        </w:rPr>
        <w:t>确</w:t>
      </w:r>
      <w:r>
        <w:rPr>
          <w:color w:val="000000"/>
          <w:sz w:val="24"/>
          <w:szCs w:val="24"/>
        </w:rPr>
        <w:t>度应</w:t>
      </w:r>
      <w:r>
        <w:rPr>
          <w:rFonts w:hint="eastAsia"/>
          <w:color w:val="000000"/>
          <w:sz w:val="24"/>
          <w:szCs w:val="24"/>
        </w:rPr>
        <w:t>不小于</w:t>
      </w:r>
      <w:r>
        <w:rPr>
          <w:color w:val="000000"/>
          <w:sz w:val="24"/>
          <w:szCs w:val="24"/>
        </w:rPr>
        <w:t>0.1mm。</w: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121285</wp:posOffset>
                </wp:positionV>
                <wp:extent cx="5234940" cy="15240"/>
                <wp:effectExtent l="9525" t="6985" r="13335" b="635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4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-5.25pt;margin-top:9.55pt;height:1.2pt;width:412.2pt;z-index:251659264;mso-width-relative:page;mso-height-relative:page;" filled="f" stroked="t" coordsize="21600,21600" o:gfxdata="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7FxKGdcAAAAJAQAADwAAAAAAAAAB&#10;ACAAAAAiAAAAZHJzL2Rvd25yZXYueG1sUEsBAhQAFAAAAAgAh07iQJpOQdrYAQAAtg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起草单位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中国食品药品检定研究院       联系电话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010-67095110</w: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参与单位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中国医药包装协会、国家食品药品监督管理局药品包装材料科研检验中心、北京市药品包装材料检验所、山东省医疗器械和药品包装检验研究院、山西省药品检验所、江西省药品检验检测研究院、四川省药品检验研究院、深圳市药品检验研究院、山东省药用玻璃股份有限公司、成都平原尼普洛药业包装有限公司、双峰格雷斯海姆医药玻璃（丹阳）有限公司、重庆正川医药包装材料股份有限公司、沧州四星玻璃股份有限公司、山东力诺特种玻璃股份有限公司、宁波正力药品包装有限公司、肖特玻管（浙江）有限公司</w:t>
      </w:r>
    </w:p>
    <w:p>
      <w:pPr>
        <w:pStyle w:val="6"/>
        <w:suppressLineNumbers/>
        <w:spacing w:line="360" w:lineRule="auto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jc w:val="center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玻璃容器垂直轴偏差和圆跳动测定法起草</w:t>
      </w:r>
      <w:r>
        <w:rPr>
          <w:rFonts w:hAnsi="宋体"/>
          <w:b/>
          <w:sz w:val="24"/>
          <w:szCs w:val="24"/>
        </w:rPr>
        <w:t>说明</w:t>
      </w:r>
    </w:p>
    <w:p>
      <w:pPr>
        <w:pStyle w:val="6"/>
        <w:suppressLineNumbers/>
        <w:spacing w:line="360" w:lineRule="auto"/>
        <w:rPr>
          <w:rFonts w:hAnsi="宋体"/>
          <w:color w:val="FF0000"/>
          <w:sz w:val="24"/>
          <w:szCs w:val="24"/>
        </w:rPr>
      </w:pPr>
    </w:p>
    <w:p>
      <w:pPr>
        <w:pStyle w:val="6"/>
        <w:numPr>
          <w:ilvl w:val="0"/>
          <w:numId w:val="1"/>
        </w:numPr>
        <w:suppressLineNumbers/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制修订</w:t>
      </w:r>
      <w:r>
        <w:rPr>
          <w:rFonts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</w:rPr>
        <w:t>目的</w:t>
      </w:r>
      <w:r>
        <w:rPr>
          <w:rFonts w:hAnsi="宋体"/>
          <w:sz w:val="24"/>
          <w:szCs w:val="24"/>
        </w:rPr>
        <w:t>意义</w:t>
      </w:r>
    </w:p>
    <w:p>
      <w:pPr>
        <w:pStyle w:val="6"/>
        <w:suppressLineNumbers/>
        <w:spacing w:line="360" w:lineRule="auto"/>
        <w:ind w:firstLine="424" w:firstLineChars="177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</w:t>
      </w:r>
      <w:r>
        <w:rPr>
          <w:rFonts w:hint="eastAsia"/>
        </w:rPr>
        <w:t xml:space="preserve"> </w:t>
      </w:r>
      <w:r>
        <w:rPr>
          <w:rFonts w:hint="eastAsia" w:hAnsi="宋体"/>
          <w:sz w:val="24"/>
          <w:szCs w:val="24"/>
        </w:rPr>
        <w:t>玻璃容器垂直轴偏差和圆跳动，在玻璃瓶灌装生产效率，安全性能的衡量上有一定参考意义。因此考察玻璃容器垂直轴偏差和圆跳动是非常有必要的。</w:t>
      </w:r>
    </w:p>
    <w:p>
      <w:pPr>
        <w:pStyle w:val="6"/>
        <w:suppressLineNumbers/>
        <w:spacing w:line="360" w:lineRule="auto"/>
        <w:ind w:firstLine="424" w:firstLineChars="177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2.形成“玻璃容器垂直轴偏差和圆跳动</w:t>
      </w:r>
      <w:r>
        <w:rPr>
          <w:rFonts w:hAnsi="宋体"/>
          <w:sz w:val="24"/>
          <w:szCs w:val="24"/>
        </w:rPr>
        <w:t>测定法</w:t>
      </w:r>
      <w:r>
        <w:rPr>
          <w:rFonts w:hint="eastAsia" w:hAnsi="宋体"/>
          <w:sz w:val="24"/>
          <w:szCs w:val="24"/>
        </w:rPr>
        <w:t>”方法标准，科学有效指导形状为圆形的药用玻璃瓶垂直轴偏差、安瓿圆跳动的测定。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二</w:t>
      </w:r>
      <w:r>
        <w:rPr>
          <w:rFonts w:hAnsi="宋体"/>
          <w:sz w:val="24"/>
          <w:szCs w:val="24"/>
        </w:rPr>
        <w:t>、</w:t>
      </w:r>
      <w:r>
        <w:rPr>
          <w:rFonts w:hint="eastAsia" w:hAnsi="宋体"/>
          <w:sz w:val="24"/>
          <w:szCs w:val="24"/>
        </w:rPr>
        <w:t>起草过程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1.查阅国内外相关标准并进行了标准比对。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2.根据与参与单位沟通交流，初步</w:t>
      </w:r>
      <w:r>
        <w:rPr>
          <w:rFonts w:hAnsi="宋体"/>
          <w:sz w:val="24"/>
          <w:szCs w:val="24"/>
        </w:rPr>
        <w:t>设计标准制定的方案</w:t>
      </w:r>
      <w:r>
        <w:rPr>
          <w:rFonts w:hint="eastAsia" w:hAnsi="宋体"/>
          <w:sz w:val="24"/>
          <w:szCs w:val="24"/>
        </w:rPr>
        <w:t>，编写草案。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3.形成“玻璃容器垂直轴偏差和圆跳动</w:t>
      </w:r>
      <w:r>
        <w:rPr>
          <w:rFonts w:hAnsi="宋体"/>
          <w:sz w:val="24"/>
          <w:szCs w:val="24"/>
        </w:rPr>
        <w:t>测定法</w:t>
      </w:r>
      <w:r>
        <w:rPr>
          <w:rFonts w:hint="eastAsia" w:hAnsi="宋体"/>
          <w:sz w:val="24"/>
          <w:szCs w:val="24"/>
        </w:rPr>
        <w:t>”，进一步向企业和检验检测机构寻求意见，完善标准，确定征求意见稿。</w:t>
      </w:r>
      <w:r>
        <w:rPr>
          <w:rFonts w:hAnsi="宋体"/>
          <w:sz w:val="24"/>
          <w:szCs w:val="24"/>
        </w:rPr>
        <w:t xml:space="preserve"> 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三、制修订</w:t>
      </w:r>
      <w:r>
        <w:rPr>
          <w:rFonts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</w:rPr>
        <w:t>总体思路</w:t>
      </w:r>
    </w:p>
    <w:p>
      <w:pPr>
        <w:pStyle w:val="6"/>
        <w:suppressLineNumbers/>
        <w:spacing w:line="360" w:lineRule="auto"/>
        <w:ind w:firstLine="336" w:firstLineChars="1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遵循药典委对药包材标准体系的架构思路，</w:t>
      </w:r>
      <w:r>
        <w:rPr>
          <w:rFonts w:hint="eastAsia" w:ascii="Times New Roman" w:hAnsi="Times New Roman" w:cs="Times New Roman"/>
          <w:sz w:val="24"/>
          <w:szCs w:val="24"/>
        </w:rPr>
        <w:t>参考国家药包材标准《</w:t>
      </w:r>
      <w:r>
        <w:rPr>
          <w:rFonts w:ascii="Times New Roman" w:hAnsi="Times New Roman" w:cs="Times New Roman"/>
          <w:sz w:val="24"/>
          <w:szCs w:val="24"/>
        </w:rPr>
        <w:t>垂直轴偏差测定法</w:t>
      </w:r>
      <w:r>
        <w:rPr>
          <w:rFonts w:hint="eastAsia" w:ascii="Times New Roman" w:hAnsi="Times New Roman" w:cs="Times New Roman"/>
          <w:sz w:val="24"/>
          <w:szCs w:val="24"/>
        </w:rPr>
        <w:t>》</w:t>
      </w:r>
      <w:r>
        <w:rPr>
          <w:rFonts w:ascii="Times New Roman" w:hAnsi="Times New Roman" w:cs="Times New Roman"/>
          <w:sz w:val="24"/>
          <w:szCs w:val="24"/>
        </w:rPr>
        <w:t>YBB00192003-2015</w:t>
      </w:r>
      <w:r>
        <w:rPr>
          <w:rFonts w:hint="eastAsia" w:ascii="Times New Roman" w:hAnsi="Times New Roman" w:cs="Times New Roman"/>
          <w:sz w:val="24"/>
          <w:szCs w:val="24"/>
        </w:rPr>
        <w:t>、国家GB标准《</w:t>
      </w:r>
      <w:r>
        <w:rPr>
          <w:rFonts w:ascii="Times New Roman" w:hAnsi="Times New Roman" w:cs="Times New Roman"/>
          <w:sz w:val="24"/>
          <w:szCs w:val="24"/>
        </w:rPr>
        <w:t>玻璃瓶罐垂直轴偏差试验方法</w:t>
      </w:r>
      <w:r>
        <w:rPr>
          <w:rFonts w:hint="eastAsia" w:ascii="Times New Roman" w:hAnsi="Times New Roman" w:cs="Times New Roman"/>
          <w:sz w:val="24"/>
          <w:szCs w:val="24"/>
        </w:rPr>
        <w:t>》</w:t>
      </w:r>
      <w:r>
        <w:rPr>
          <w:rFonts w:ascii="Times New Roman" w:hAnsi="Times New Roman" w:cs="Times New Roman"/>
          <w:sz w:val="24"/>
          <w:szCs w:val="24"/>
        </w:rPr>
        <w:t xml:space="preserve">GB/T 8452-2008 </w:t>
      </w:r>
      <w:r>
        <w:rPr>
          <w:rFonts w:hint="eastAsia" w:ascii="Times New Roman" w:hAnsi="Times New Roman" w:cs="Times New Roman"/>
          <w:sz w:val="24"/>
          <w:szCs w:val="24"/>
        </w:rPr>
        <w:t>与ISO标准《</w:t>
      </w:r>
      <w:r>
        <w:rPr>
          <w:rFonts w:ascii="Times New Roman" w:hAnsi="Times New Roman" w:cs="Times New Roman"/>
          <w:sz w:val="24"/>
          <w:szCs w:val="24"/>
        </w:rPr>
        <w:t>Glass bottles — Verticality — Test method</w:t>
      </w:r>
      <w:r>
        <w:rPr>
          <w:rFonts w:hint="eastAsia" w:ascii="Times New Roman" w:hAnsi="Times New Roman" w:cs="Times New Roman"/>
          <w:sz w:val="24"/>
          <w:szCs w:val="24"/>
        </w:rPr>
        <w:t>》</w:t>
      </w:r>
      <w:r>
        <w:rPr>
          <w:rFonts w:ascii="Times New Roman" w:hAnsi="Times New Roman" w:cs="Times New Roman"/>
          <w:sz w:val="24"/>
          <w:szCs w:val="24"/>
        </w:rPr>
        <w:t>ISO 9008-1991</w:t>
      </w:r>
      <w:r>
        <w:rPr>
          <w:rFonts w:hint="eastAsia" w:ascii="Times New Roman" w:hAnsi="Times New Roman" w:cs="Times New Roman"/>
          <w:sz w:val="24"/>
          <w:szCs w:val="24"/>
        </w:rPr>
        <w:t>的标准比对，</w:t>
      </w:r>
      <w:r>
        <w:rPr>
          <w:rFonts w:ascii="Times New Roman" w:hAnsi="Times New Roman" w:cs="Times New Roman"/>
          <w:sz w:val="24"/>
          <w:szCs w:val="24"/>
        </w:rPr>
        <w:t>收集了在日常试验时存在的问题，</w:t>
      </w:r>
      <w:r>
        <w:rPr>
          <w:rFonts w:hint="eastAsia" w:ascii="Times New Roman" w:hAnsi="Times New Roman" w:cs="Times New Roman"/>
          <w:sz w:val="24"/>
          <w:szCs w:val="24"/>
        </w:rPr>
        <w:t>参考标准比对，</w:t>
      </w:r>
      <w:r>
        <w:rPr>
          <w:rFonts w:ascii="Times New Roman" w:hAnsi="Times New Roman" w:cs="Times New Roman"/>
          <w:sz w:val="24"/>
          <w:szCs w:val="24"/>
        </w:rPr>
        <w:t>增加该检测方法的可操作性，完善本测定法。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四、需重点</w:t>
      </w:r>
      <w:r>
        <w:rPr>
          <w:rFonts w:hAnsi="宋体"/>
          <w:sz w:val="24"/>
          <w:szCs w:val="24"/>
        </w:rPr>
        <w:t>说明的问题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本标准是新增方法标准，确定的主要内容是：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1.名称：参照《中国药典》2020年版及命名原则，删除拼音及英文名称，名字修改为“玻璃容器垂直轴偏差和圆跳动测定法”。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2.正文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2.1参照《中国药典》2020年版进行格式文字修订。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2.2 增加圆跳动定义。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2.3调整格式增加了结果表示。</w:t>
      </w:r>
    </w:p>
    <w:sectPr>
      <w:headerReference r:id="rId5" w:type="first"/>
      <w:headerReference r:id="rId3" w:type="default"/>
      <w:footerReference r:id="rId6" w:type="default"/>
      <w:headerReference r:id="rId4" w:type="even"/>
      <w:endnotePr>
        <w:numFmt w:val="decimal"/>
      </w:endnotePr>
      <w:pgSz w:w="12240" w:h="15840"/>
      <w:pgMar w:top="1134" w:right="2552" w:bottom="1134" w:left="1701" w:header="720" w:footer="720" w:gutter="0"/>
      <w:lnNumType w:countBy="1" w:restart="continuous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cs="Times New Roman"/>
      </w:rPr>
    </w:pPr>
    <w:r>
      <w:rPr>
        <w:rFonts w:ascii="华文仿宋" w:hAnsi="华文仿宋" w:eastAsia="华文仿宋" w:cs="华文仿宋"/>
        <w:sz w:val="21"/>
        <w:szCs w:val="21"/>
      </w:rPr>
      <w:fldChar w:fldCharType="begin"/>
    </w:r>
    <w:r>
      <w:rPr>
        <w:rFonts w:ascii="华文仿宋" w:hAnsi="华文仿宋" w:eastAsia="华文仿宋" w:cs="华文仿宋"/>
        <w:sz w:val="21"/>
        <w:szCs w:val="21"/>
      </w:rPr>
      <w:instrText xml:space="preserve"> PAGE   \* MERGEFORMAT </w:instrText>
    </w:r>
    <w:r>
      <w:rPr>
        <w:rFonts w:ascii="华文仿宋" w:hAnsi="华文仿宋" w:eastAsia="华文仿宋" w:cs="华文仿宋"/>
        <w:sz w:val="21"/>
        <w:szCs w:val="21"/>
      </w:rPr>
      <w:fldChar w:fldCharType="separate"/>
    </w:r>
    <w:r>
      <w:rPr>
        <w:rFonts w:ascii="华文仿宋" w:hAnsi="华文仿宋" w:eastAsia="华文仿宋" w:cs="华文仿宋"/>
        <w:sz w:val="21"/>
        <w:szCs w:val="21"/>
        <w:lang w:val="zh-CN"/>
      </w:rPr>
      <w:t>2</w:t>
    </w:r>
    <w:r>
      <w:rPr>
        <w:rFonts w:ascii="华文仿宋" w:hAnsi="华文仿宋" w:eastAsia="华文仿宋" w:cs="华文仿宋"/>
        <w:sz w:val="21"/>
        <w:szCs w:val="21"/>
      </w:rPr>
      <w:fldChar w:fldCharType="end"/>
    </w:r>
  </w:p>
  <w:p>
    <w:pPr>
      <w:pStyle w:val="9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3993"/>
        <w:tab w:val="right" w:pos="7987"/>
        <w:tab w:val="clear" w:pos="4153"/>
        <w:tab w:val="clear" w:pos="8306"/>
      </w:tabs>
    </w:pPr>
    <w:r>
      <w:pict>
        <v:shape id="PowerPlusWaterMarkObject3945033" o:spid="_x0000_s2054" o:spt="136" type="#_x0000_t136" style="position:absolute;left:0pt;height:93.8pt;width:469.2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  <w:r>
      <w:t xml:space="preserve">                                                                          </w:t>
    </w:r>
    <w:r>
      <w:rPr>
        <w:rFonts w:hint="eastAsia"/>
      </w:rPr>
      <w:t>2022年6</w:t>
    </w:r>
    <w:r>
      <w:t>月</w:t>
    </w: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2" o:spid="_x0000_s2053" o:spt="136" type="#_x0000_t136" style="position:absolute;left:0pt;height:93.8pt;width:469.2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1" o:spid="_x0000_s2052" o:spt="136" type="#_x0000_t136" style="position:absolute;left:0pt;height:93.8pt;width:469.2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156C0C"/>
    <w:multiLevelType w:val="multilevel"/>
    <w:tmpl w:val="0E156C0C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21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YmQ4N2ZiNWJhYzY2NGI4ZjAyNjk0YmUwODQ1ZGIifQ=="/>
  </w:docVars>
  <w:rsids>
    <w:rsidRoot w:val="00A4732B"/>
    <w:rsid w:val="00012A9D"/>
    <w:rsid w:val="00015814"/>
    <w:rsid w:val="00021A46"/>
    <w:rsid w:val="0002482F"/>
    <w:rsid w:val="00050ABA"/>
    <w:rsid w:val="0005156E"/>
    <w:rsid w:val="00051B62"/>
    <w:rsid w:val="000601A8"/>
    <w:rsid w:val="000775AE"/>
    <w:rsid w:val="00084FD5"/>
    <w:rsid w:val="00097240"/>
    <w:rsid w:val="000A3B4E"/>
    <w:rsid w:val="000A4652"/>
    <w:rsid w:val="000B4C1A"/>
    <w:rsid w:val="000B6C95"/>
    <w:rsid w:val="000C5051"/>
    <w:rsid w:val="000F14A5"/>
    <w:rsid w:val="00101F14"/>
    <w:rsid w:val="00112744"/>
    <w:rsid w:val="00125A86"/>
    <w:rsid w:val="00130CCE"/>
    <w:rsid w:val="00132E56"/>
    <w:rsid w:val="001469BE"/>
    <w:rsid w:val="00152252"/>
    <w:rsid w:val="00155B91"/>
    <w:rsid w:val="001577A8"/>
    <w:rsid w:val="001705F3"/>
    <w:rsid w:val="00181905"/>
    <w:rsid w:val="00182D0C"/>
    <w:rsid w:val="00193EAF"/>
    <w:rsid w:val="001A5EBE"/>
    <w:rsid w:val="001B2A81"/>
    <w:rsid w:val="001B4C3E"/>
    <w:rsid w:val="001C3B74"/>
    <w:rsid w:val="001D5B59"/>
    <w:rsid w:val="001E36B7"/>
    <w:rsid w:val="001E43CF"/>
    <w:rsid w:val="001F2CAA"/>
    <w:rsid w:val="001F5BCF"/>
    <w:rsid w:val="00200FEC"/>
    <w:rsid w:val="00206B5E"/>
    <w:rsid w:val="00206DCF"/>
    <w:rsid w:val="00211684"/>
    <w:rsid w:val="00222754"/>
    <w:rsid w:val="00242D6A"/>
    <w:rsid w:val="00245C5C"/>
    <w:rsid w:val="00245D42"/>
    <w:rsid w:val="00255443"/>
    <w:rsid w:val="00255EFE"/>
    <w:rsid w:val="00265082"/>
    <w:rsid w:val="00266913"/>
    <w:rsid w:val="00271C40"/>
    <w:rsid w:val="002744AB"/>
    <w:rsid w:val="00276022"/>
    <w:rsid w:val="00285E24"/>
    <w:rsid w:val="002A5F4B"/>
    <w:rsid w:val="002B7535"/>
    <w:rsid w:val="002C465B"/>
    <w:rsid w:val="002D06AF"/>
    <w:rsid w:val="002D5037"/>
    <w:rsid w:val="002D76DF"/>
    <w:rsid w:val="00304749"/>
    <w:rsid w:val="0030548B"/>
    <w:rsid w:val="00307D05"/>
    <w:rsid w:val="00315205"/>
    <w:rsid w:val="00317372"/>
    <w:rsid w:val="0033758F"/>
    <w:rsid w:val="003522DE"/>
    <w:rsid w:val="00354461"/>
    <w:rsid w:val="00356A05"/>
    <w:rsid w:val="00364BAA"/>
    <w:rsid w:val="003864D2"/>
    <w:rsid w:val="00393FCE"/>
    <w:rsid w:val="00397392"/>
    <w:rsid w:val="003A38F6"/>
    <w:rsid w:val="003B63C3"/>
    <w:rsid w:val="003C6ADB"/>
    <w:rsid w:val="003D1C1D"/>
    <w:rsid w:val="003D284D"/>
    <w:rsid w:val="003D3B73"/>
    <w:rsid w:val="003E055C"/>
    <w:rsid w:val="003E406F"/>
    <w:rsid w:val="003E52D6"/>
    <w:rsid w:val="003F1A18"/>
    <w:rsid w:val="003F46E1"/>
    <w:rsid w:val="00403FD5"/>
    <w:rsid w:val="00405357"/>
    <w:rsid w:val="00421238"/>
    <w:rsid w:val="0043287B"/>
    <w:rsid w:val="004354AB"/>
    <w:rsid w:val="00443A40"/>
    <w:rsid w:val="004456E7"/>
    <w:rsid w:val="00447DD1"/>
    <w:rsid w:val="00453861"/>
    <w:rsid w:val="004542D8"/>
    <w:rsid w:val="00466DA0"/>
    <w:rsid w:val="00467F81"/>
    <w:rsid w:val="00473358"/>
    <w:rsid w:val="00494805"/>
    <w:rsid w:val="00496E00"/>
    <w:rsid w:val="004A39CC"/>
    <w:rsid w:val="004B4A9B"/>
    <w:rsid w:val="004D0E22"/>
    <w:rsid w:val="004D1836"/>
    <w:rsid w:val="004E3EA1"/>
    <w:rsid w:val="004E4D21"/>
    <w:rsid w:val="004E6F87"/>
    <w:rsid w:val="004E748E"/>
    <w:rsid w:val="004F53C9"/>
    <w:rsid w:val="00507976"/>
    <w:rsid w:val="00527BD2"/>
    <w:rsid w:val="00531461"/>
    <w:rsid w:val="0053211E"/>
    <w:rsid w:val="00536D43"/>
    <w:rsid w:val="00547E3C"/>
    <w:rsid w:val="0055110A"/>
    <w:rsid w:val="00570AF7"/>
    <w:rsid w:val="00577C18"/>
    <w:rsid w:val="0058652D"/>
    <w:rsid w:val="00594421"/>
    <w:rsid w:val="005A2F34"/>
    <w:rsid w:val="005A76B2"/>
    <w:rsid w:val="005B26EA"/>
    <w:rsid w:val="005C2792"/>
    <w:rsid w:val="005C4A22"/>
    <w:rsid w:val="005D39B6"/>
    <w:rsid w:val="005E3D7C"/>
    <w:rsid w:val="00616C23"/>
    <w:rsid w:val="00617897"/>
    <w:rsid w:val="00621A38"/>
    <w:rsid w:val="00634E3E"/>
    <w:rsid w:val="00640BAD"/>
    <w:rsid w:val="00642E64"/>
    <w:rsid w:val="006503FB"/>
    <w:rsid w:val="00655DB5"/>
    <w:rsid w:val="006576EF"/>
    <w:rsid w:val="0066507A"/>
    <w:rsid w:val="00666690"/>
    <w:rsid w:val="00667EBE"/>
    <w:rsid w:val="0067517F"/>
    <w:rsid w:val="00676338"/>
    <w:rsid w:val="006816C9"/>
    <w:rsid w:val="00683A01"/>
    <w:rsid w:val="00683B17"/>
    <w:rsid w:val="0068490A"/>
    <w:rsid w:val="00685D74"/>
    <w:rsid w:val="00690780"/>
    <w:rsid w:val="006A1FAE"/>
    <w:rsid w:val="006A6131"/>
    <w:rsid w:val="006B1F94"/>
    <w:rsid w:val="006B7754"/>
    <w:rsid w:val="006C5A18"/>
    <w:rsid w:val="006C64C9"/>
    <w:rsid w:val="006D476F"/>
    <w:rsid w:val="006E04E0"/>
    <w:rsid w:val="006E3EBE"/>
    <w:rsid w:val="006E68AE"/>
    <w:rsid w:val="00711418"/>
    <w:rsid w:val="00713D8C"/>
    <w:rsid w:val="00716C7B"/>
    <w:rsid w:val="00724E58"/>
    <w:rsid w:val="00753E58"/>
    <w:rsid w:val="00756FD6"/>
    <w:rsid w:val="007646F4"/>
    <w:rsid w:val="00764A64"/>
    <w:rsid w:val="00772194"/>
    <w:rsid w:val="00780F1B"/>
    <w:rsid w:val="007973B4"/>
    <w:rsid w:val="007A198F"/>
    <w:rsid w:val="007B6DC5"/>
    <w:rsid w:val="007C1156"/>
    <w:rsid w:val="007C4612"/>
    <w:rsid w:val="007D10CC"/>
    <w:rsid w:val="007E10AB"/>
    <w:rsid w:val="007F7A8B"/>
    <w:rsid w:val="00800C4E"/>
    <w:rsid w:val="00814C8C"/>
    <w:rsid w:val="008166AD"/>
    <w:rsid w:val="00817D45"/>
    <w:rsid w:val="00817FD3"/>
    <w:rsid w:val="008271D8"/>
    <w:rsid w:val="00832827"/>
    <w:rsid w:val="00847034"/>
    <w:rsid w:val="00847D17"/>
    <w:rsid w:val="00877A0B"/>
    <w:rsid w:val="008848D5"/>
    <w:rsid w:val="00885B5E"/>
    <w:rsid w:val="008918FF"/>
    <w:rsid w:val="008A39AC"/>
    <w:rsid w:val="008B430F"/>
    <w:rsid w:val="008C214D"/>
    <w:rsid w:val="008D136A"/>
    <w:rsid w:val="008D618C"/>
    <w:rsid w:val="00913A37"/>
    <w:rsid w:val="00914822"/>
    <w:rsid w:val="00923FDC"/>
    <w:rsid w:val="00926647"/>
    <w:rsid w:val="00935FAA"/>
    <w:rsid w:val="00942F36"/>
    <w:rsid w:val="00953410"/>
    <w:rsid w:val="00957182"/>
    <w:rsid w:val="00957C42"/>
    <w:rsid w:val="009726F4"/>
    <w:rsid w:val="009728AA"/>
    <w:rsid w:val="009835A8"/>
    <w:rsid w:val="00984988"/>
    <w:rsid w:val="00985B2F"/>
    <w:rsid w:val="00990BAA"/>
    <w:rsid w:val="00995DCE"/>
    <w:rsid w:val="009975F3"/>
    <w:rsid w:val="009B43DF"/>
    <w:rsid w:val="009C7881"/>
    <w:rsid w:val="009D0A22"/>
    <w:rsid w:val="009E170D"/>
    <w:rsid w:val="009E5154"/>
    <w:rsid w:val="009E7092"/>
    <w:rsid w:val="009E7344"/>
    <w:rsid w:val="00A05B38"/>
    <w:rsid w:val="00A06A51"/>
    <w:rsid w:val="00A16B00"/>
    <w:rsid w:val="00A24C40"/>
    <w:rsid w:val="00A3310A"/>
    <w:rsid w:val="00A3442E"/>
    <w:rsid w:val="00A346FF"/>
    <w:rsid w:val="00A4732B"/>
    <w:rsid w:val="00A503AE"/>
    <w:rsid w:val="00A62A0B"/>
    <w:rsid w:val="00A758FA"/>
    <w:rsid w:val="00A81A8D"/>
    <w:rsid w:val="00A8508C"/>
    <w:rsid w:val="00A94A14"/>
    <w:rsid w:val="00AA6575"/>
    <w:rsid w:val="00AB00A4"/>
    <w:rsid w:val="00AC60B7"/>
    <w:rsid w:val="00AE4B2E"/>
    <w:rsid w:val="00AE4D72"/>
    <w:rsid w:val="00AF14FA"/>
    <w:rsid w:val="00B008F7"/>
    <w:rsid w:val="00B0346D"/>
    <w:rsid w:val="00B04439"/>
    <w:rsid w:val="00B102D2"/>
    <w:rsid w:val="00B24CB7"/>
    <w:rsid w:val="00B31F2D"/>
    <w:rsid w:val="00B415A7"/>
    <w:rsid w:val="00B47738"/>
    <w:rsid w:val="00B50E2F"/>
    <w:rsid w:val="00B5195E"/>
    <w:rsid w:val="00B55F90"/>
    <w:rsid w:val="00B61F5B"/>
    <w:rsid w:val="00B62F4E"/>
    <w:rsid w:val="00B942E1"/>
    <w:rsid w:val="00B94B78"/>
    <w:rsid w:val="00B97192"/>
    <w:rsid w:val="00BA7B81"/>
    <w:rsid w:val="00BB3F7E"/>
    <w:rsid w:val="00BB48EF"/>
    <w:rsid w:val="00BC6E19"/>
    <w:rsid w:val="00BD42DF"/>
    <w:rsid w:val="00BD7EBD"/>
    <w:rsid w:val="00BE0BA8"/>
    <w:rsid w:val="00BE3F76"/>
    <w:rsid w:val="00BE6B69"/>
    <w:rsid w:val="00BF005E"/>
    <w:rsid w:val="00BF772E"/>
    <w:rsid w:val="00C00BCF"/>
    <w:rsid w:val="00C0359B"/>
    <w:rsid w:val="00C12CCE"/>
    <w:rsid w:val="00C21170"/>
    <w:rsid w:val="00C21CE3"/>
    <w:rsid w:val="00C25AFF"/>
    <w:rsid w:val="00C266AC"/>
    <w:rsid w:val="00C27905"/>
    <w:rsid w:val="00C350F2"/>
    <w:rsid w:val="00C46A3D"/>
    <w:rsid w:val="00C51000"/>
    <w:rsid w:val="00C806D0"/>
    <w:rsid w:val="00C8153B"/>
    <w:rsid w:val="00C8561E"/>
    <w:rsid w:val="00C905A3"/>
    <w:rsid w:val="00C91A9E"/>
    <w:rsid w:val="00C91EA5"/>
    <w:rsid w:val="00C932E3"/>
    <w:rsid w:val="00CA6D90"/>
    <w:rsid w:val="00CB3869"/>
    <w:rsid w:val="00CC0E81"/>
    <w:rsid w:val="00CD33A2"/>
    <w:rsid w:val="00CE0E95"/>
    <w:rsid w:val="00CE4E23"/>
    <w:rsid w:val="00CF026C"/>
    <w:rsid w:val="00D12793"/>
    <w:rsid w:val="00D221D1"/>
    <w:rsid w:val="00D257C3"/>
    <w:rsid w:val="00D30211"/>
    <w:rsid w:val="00D32755"/>
    <w:rsid w:val="00D33D18"/>
    <w:rsid w:val="00D3669B"/>
    <w:rsid w:val="00D42881"/>
    <w:rsid w:val="00D4696C"/>
    <w:rsid w:val="00D6170E"/>
    <w:rsid w:val="00D62862"/>
    <w:rsid w:val="00D81D4B"/>
    <w:rsid w:val="00D84AF0"/>
    <w:rsid w:val="00D93AEC"/>
    <w:rsid w:val="00D94CAD"/>
    <w:rsid w:val="00D95CD1"/>
    <w:rsid w:val="00D97D22"/>
    <w:rsid w:val="00D97F9F"/>
    <w:rsid w:val="00DA0FB8"/>
    <w:rsid w:val="00DB64A9"/>
    <w:rsid w:val="00DB7084"/>
    <w:rsid w:val="00DC1ECE"/>
    <w:rsid w:val="00DE0063"/>
    <w:rsid w:val="00DE0E57"/>
    <w:rsid w:val="00DE4EB1"/>
    <w:rsid w:val="00DE5DFC"/>
    <w:rsid w:val="00DF6694"/>
    <w:rsid w:val="00E035CC"/>
    <w:rsid w:val="00E16B66"/>
    <w:rsid w:val="00E16C19"/>
    <w:rsid w:val="00E31BF5"/>
    <w:rsid w:val="00E3643B"/>
    <w:rsid w:val="00E42EF6"/>
    <w:rsid w:val="00E45298"/>
    <w:rsid w:val="00E45BB7"/>
    <w:rsid w:val="00E46334"/>
    <w:rsid w:val="00E77286"/>
    <w:rsid w:val="00E83CFD"/>
    <w:rsid w:val="00E864E2"/>
    <w:rsid w:val="00EA4909"/>
    <w:rsid w:val="00EA590A"/>
    <w:rsid w:val="00EB4B81"/>
    <w:rsid w:val="00EC290F"/>
    <w:rsid w:val="00EC62CE"/>
    <w:rsid w:val="00ED08B2"/>
    <w:rsid w:val="00ED730B"/>
    <w:rsid w:val="00EE2DBC"/>
    <w:rsid w:val="00EF1C71"/>
    <w:rsid w:val="00EF36A5"/>
    <w:rsid w:val="00EF481A"/>
    <w:rsid w:val="00F00E4D"/>
    <w:rsid w:val="00F06313"/>
    <w:rsid w:val="00F16AEB"/>
    <w:rsid w:val="00F24BA7"/>
    <w:rsid w:val="00F330D6"/>
    <w:rsid w:val="00F41812"/>
    <w:rsid w:val="00F45E68"/>
    <w:rsid w:val="00F557CB"/>
    <w:rsid w:val="00F6201D"/>
    <w:rsid w:val="00F63948"/>
    <w:rsid w:val="00F742A0"/>
    <w:rsid w:val="00F87752"/>
    <w:rsid w:val="00F96010"/>
    <w:rsid w:val="00FA6CD1"/>
    <w:rsid w:val="00FC0659"/>
    <w:rsid w:val="00FC45FE"/>
    <w:rsid w:val="00FE63B0"/>
    <w:rsid w:val="09A7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qFormat="1" w:uiPriority="99" w:name="line number"/>
    <w:lsdException w:uiPriority="99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99"/>
    <w:pPr>
      <w:keepNext/>
      <w:keepLines/>
      <w:spacing w:line="360" w:lineRule="auto"/>
      <w:ind w:left="425" w:hanging="425"/>
      <w:outlineLvl w:val="1"/>
    </w:pPr>
    <w:rPr>
      <w:rFonts w:ascii="Calibri Light" w:hAnsi="Calibri Light" w:cs="Calibri Light"/>
      <w:b/>
      <w:bCs/>
      <w:kern w:val="0"/>
      <w:sz w:val="24"/>
      <w:szCs w:val="24"/>
    </w:rPr>
  </w:style>
  <w:style w:type="paragraph" w:styleId="3">
    <w:name w:val="heading 3"/>
    <w:basedOn w:val="1"/>
    <w:next w:val="1"/>
    <w:link w:val="19"/>
    <w:qFormat/>
    <w:uiPriority w:val="99"/>
    <w:pPr>
      <w:keepNext/>
      <w:keepLines/>
      <w:adjustRightInd w:val="0"/>
      <w:snapToGrid w:val="0"/>
      <w:spacing w:line="360" w:lineRule="auto"/>
      <w:ind w:left="425" w:hanging="425"/>
      <w:outlineLvl w:val="2"/>
    </w:pPr>
    <w:rPr>
      <w:rFonts w:ascii="Calibri" w:hAnsi="Calibri" w:cs="Calibri"/>
      <w:b/>
      <w:bCs/>
      <w:kern w:val="0"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uiPriority w:val="99"/>
    <w:pPr>
      <w:jc w:val="left"/>
    </w:pPr>
    <w:rPr>
      <w:kern w:val="0"/>
      <w:sz w:val="20"/>
      <w:szCs w:val="20"/>
    </w:rPr>
  </w:style>
  <w:style w:type="paragraph" w:styleId="5">
    <w:name w:val="Body Text"/>
    <w:basedOn w:val="1"/>
    <w:link w:val="28"/>
    <w:semiHidden/>
    <w:qFormat/>
    <w:uiPriority w:val="99"/>
    <w:pPr>
      <w:autoSpaceDE w:val="0"/>
      <w:autoSpaceDN w:val="0"/>
      <w:adjustRightInd w:val="0"/>
      <w:spacing w:line="360" w:lineRule="auto"/>
      <w:ind w:left="425" w:hanging="425"/>
      <w:jc w:val="left"/>
    </w:pPr>
    <w:rPr>
      <w:color w:val="000000"/>
      <w:kern w:val="0"/>
      <w:sz w:val="20"/>
      <w:szCs w:val="20"/>
    </w:rPr>
  </w:style>
  <w:style w:type="paragraph" w:styleId="6">
    <w:name w:val="Plain Text"/>
    <w:basedOn w:val="1"/>
    <w:link w:val="22"/>
    <w:uiPriority w:val="99"/>
    <w:rPr>
      <w:rFonts w:ascii="宋体" w:hAnsi="Courier New" w:cs="宋体"/>
      <w:kern w:val="0"/>
      <w:sz w:val="20"/>
      <w:szCs w:val="20"/>
    </w:rPr>
  </w:style>
  <w:style w:type="paragraph" w:styleId="7">
    <w:name w:val="endnote text"/>
    <w:basedOn w:val="1"/>
    <w:link w:val="27"/>
    <w:semiHidden/>
    <w:qFormat/>
    <w:uiPriority w:val="99"/>
    <w:pPr>
      <w:snapToGrid w:val="0"/>
      <w:spacing w:line="360" w:lineRule="auto"/>
      <w:ind w:left="425" w:hanging="425"/>
      <w:jc w:val="left"/>
    </w:pPr>
    <w:rPr>
      <w:kern w:val="0"/>
      <w:sz w:val="20"/>
      <w:szCs w:val="20"/>
    </w:rPr>
  </w:style>
  <w:style w:type="paragraph" w:styleId="8">
    <w:name w:val="Balloon Text"/>
    <w:basedOn w:val="1"/>
    <w:link w:val="24"/>
    <w:semiHidden/>
    <w:uiPriority w:val="99"/>
    <w:rPr>
      <w:kern w:val="0"/>
      <w:sz w:val="18"/>
      <w:szCs w:val="18"/>
    </w:rPr>
  </w:style>
  <w:style w:type="paragraph" w:styleId="9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10">
    <w:name w:val="header"/>
    <w:basedOn w:val="1"/>
    <w:link w:val="2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paragraph" w:styleId="11">
    <w:name w:val="annotation subject"/>
    <w:basedOn w:val="4"/>
    <w:next w:val="4"/>
    <w:link w:val="25"/>
    <w:semiHidden/>
    <w:uiPriority w:val="99"/>
    <w:rPr>
      <w:b/>
      <w:bCs/>
    </w:rPr>
  </w:style>
  <w:style w:type="table" w:styleId="13">
    <w:name w:val="Table Grid"/>
    <w:basedOn w:val="12"/>
    <w:qFormat/>
    <w:uiPriority w:val="99"/>
    <w:pPr>
      <w:spacing w:line="360" w:lineRule="auto"/>
      <w:ind w:left="425" w:hanging="425"/>
      <w:jc w:val="both"/>
    </w:pPr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endnote reference"/>
    <w:semiHidden/>
    <w:qFormat/>
    <w:uiPriority w:val="99"/>
    <w:rPr>
      <w:vertAlign w:val="superscript"/>
    </w:rPr>
  </w:style>
  <w:style w:type="character" w:styleId="16">
    <w:name w:val="line number"/>
    <w:basedOn w:val="14"/>
    <w:semiHidden/>
    <w:unhideWhenUsed/>
    <w:qFormat/>
    <w:uiPriority w:val="99"/>
  </w:style>
  <w:style w:type="character" w:styleId="17">
    <w:name w:val="annotation reference"/>
    <w:semiHidden/>
    <w:uiPriority w:val="99"/>
    <w:rPr>
      <w:sz w:val="21"/>
      <w:szCs w:val="21"/>
    </w:rPr>
  </w:style>
  <w:style w:type="character" w:customStyle="1" w:styleId="18">
    <w:name w:val="标题 2 字符"/>
    <w:link w:val="2"/>
    <w:semiHidden/>
    <w:locked/>
    <w:uiPriority w:val="99"/>
    <w:rPr>
      <w:rFonts w:ascii="Calibri Light" w:hAnsi="Calibri Light" w:eastAsia="宋体" w:cs="Calibri Light"/>
      <w:b/>
      <w:bCs/>
      <w:sz w:val="32"/>
      <w:szCs w:val="32"/>
    </w:rPr>
  </w:style>
  <w:style w:type="character" w:customStyle="1" w:styleId="19">
    <w:name w:val="标题 3 字符"/>
    <w:link w:val="3"/>
    <w:qFormat/>
    <w:locked/>
    <w:uiPriority w:val="99"/>
    <w:rPr>
      <w:b/>
      <w:bCs/>
      <w:sz w:val="32"/>
      <w:szCs w:val="32"/>
    </w:rPr>
  </w:style>
  <w:style w:type="character" w:customStyle="1" w:styleId="20">
    <w:name w:val="页眉 字符"/>
    <w:link w:val="10"/>
    <w:locked/>
    <w:uiPriority w:val="99"/>
    <w:rPr>
      <w:sz w:val="18"/>
      <w:szCs w:val="18"/>
    </w:rPr>
  </w:style>
  <w:style w:type="character" w:customStyle="1" w:styleId="21">
    <w:name w:val="页脚 字符"/>
    <w:link w:val="9"/>
    <w:locked/>
    <w:uiPriority w:val="99"/>
    <w:rPr>
      <w:sz w:val="18"/>
      <w:szCs w:val="18"/>
    </w:rPr>
  </w:style>
  <w:style w:type="character" w:customStyle="1" w:styleId="22">
    <w:name w:val="纯文本 字符"/>
    <w:link w:val="6"/>
    <w:locked/>
    <w:uiPriority w:val="99"/>
    <w:rPr>
      <w:rFonts w:ascii="宋体" w:hAnsi="Courier New" w:eastAsia="宋体" w:cs="宋体"/>
      <w:sz w:val="20"/>
      <w:szCs w:val="20"/>
    </w:rPr>
  </w:style>
  <w:style w:type="character" w:customStyle="1" w:styleId="23">
    <w:name w:val="批注文字 字符"/>
    <w:link w:val="4"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4">
    <w:name w:val="批注框文本 字符"/>
    <w:link w:val="8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批注主题 字符"/>
    <w:link w:val="11"/>
    <w:semiHidden/>
    <w:locked/>
    <w:uiPriority w:val="99"/>
    <w:rPr>
      <w:rFonts w:ascii="Times New Roman" w:hAnsi="Times New Roman" w:eastAsia="宋体" w:cs="Times New Roman"/>
      <w:b/>
      <w:bCs/>
      <w:sz w:val="20"/>
      <w:szCs w:val="20"/>
    </w:rPr>
  </w:style>
  <w:style w:type="paragraph" w:customStyle="1" w:styleId="2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7">
    <w:name w:val="尾注文本 字符"/>
    <w:link w:val="7"/>
    <w:semiHidden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8">
    <w:name w:val="正文文本 字符"/>
    <w:link w:val="5"/>
    <w:semiHidden/>
    <w:qFormat/>
    <w:locked/>
    <w:uiPriority w:val="99"/>
    <w:rPr>
      <w:rFonts w:ascii="Times New Roman" w:hAnsi="Times New Roman" w:eastAsia="宋体" w:cs="Times New Roman"/>
      <w:color w:val="000000"/>
      <w:kern w:val="0"/>
      <w:sz w:val="20"/>
      <w:szCs w:val="20"/>
    </w:rPr>
  </w:style>
  <w:style w:type="paragraph" w:styleId="29">
    <w:name w:val="List Paragraph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paragraph" w:customStyle="1" w:styleId="30">
    <w:name w:val="列出段落1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character" w:customStyle="1" w:styleId="31">
    <w:name w:val="apple-converted-space"/>
    <w:basedOn w:val="14"/>
    <w:qFormat/>
    <w:uiPriority w:val="99"/>
  </w:style>
  <w:style w:type="paragraph" w:customStyle="1" w:styleId="32">
    <w:name w:val="Normal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3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E58288-C72B-4A9C-AC66-D8EF8DFAEA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sidc</Company>
  <Pages>3</Pages>
  <Words>1416</Words>
  <Characters>1535</Characters>
  <Lines>11</Lines>
  <Paragraphs>3</Paragraphs>
  <TotalTime>9</TotalTime>
  <ScaleCrop>false</ScaleCrop>
  <LinksUpToDate>false</LinksUpToDate>
  <CharactersWithSpaces>1560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2022-06-20T06:03:00Z</dcterms:created>
  <dc:creator>Fan Yiling</dc:creator>
  <cp:lastModifiedBy>姜恒</cp:lastModifiedBy>
  <cp:lastPrinted>2018-05-11T09:20:00Z</cp:lastPrinted>
  <dcterms:modified xsi:type="dcterms:W3CDTF">2022-06-29T07:33:14Z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AC99F0823FBC46BAAE5BF5FC14EF0A83</vt:lpwstr>
  </property>
</Properties>
</file>