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附件</w:t>
      </w:r>
      <w:r>
        <w:rPr>
          <w:rFonts w:hint="eastAsia" w:hAnsi="宋体"/>
          <w:b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Ansi="宋体"/>
          <w:b/>
          <w:sz w:val="24"/>
          <w:szCs w:val="24"/>
        </w:rPr>
        <w:t>-</w:t>
      </w:r>
      <w:r>
        <w:rPr>
          <w:rFonts w:hint="eastAsia" w:hAnsi="宋体"/>
          <w:b/>
          <w:sz w:val="24"/>
          <w:szCs w:val="24"/>
        </w:rPr>
        <w:t>9  玻璃容器容量测定法征求意见稿</w:t>
      </w:r>
    </w:p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4024 玻璃容器容量测定法</w:t>
      </w: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玻璃容器的容量可分为</w:t>
      </w:r>
      <w:r>
        <w:rPr>
          <w:sz w:val="24"/>
          <w:szCs w:val="24"/>
        </w:rPr>
        <w:t>标线容量和满口容量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标线容量系</w:t>
      </w:r>
      <w:r>
        <w:rPr>
          <w:rFonts w:hint="eastAsia"/>
          <w:sz w:val="24"/>
          <w:szCs w:val="24"/>
        </w:rPr>
        <w:t>指</w:t>
      </w:r>
      <w:r>
        <w:rPr>
          <w:sz w:val="24"/>
          <w:szCs w:val="24"/>
        </w:rPr>
        <w:t>灌装</w:t>
      </w:r>
      <w:r>
        <w:rPr>
          <w:rFonts w:hint="eastAsia"/>
          <w:sz w:val="24"/>
          <w:szCs w:val="24"/>
        </w:rPr>
        <w:t>水的液面与</w:t>
      </w:r>
      <w:r>
        <w:rPr>
          <w:sz w:val="24"/>
          <w:szCs w:val="24"/>
        </w:rPr>
        <w:t>标线</w:t>
      </w:r>
      <w:r>
        <w:rPr>
          <w:rFonts w:hint="eastAsia"/>
          <w:sz w:val="24"/>
          <w:szCs w:val="24"/>
        </w:rPr>
        <w:t>齐平</w:t>
      </w:r>
      <w:r>
        <w:rPr>
          <w:sz w:val="24"/>
          <w:szCs w:val="24"/>
        </w:rPr>
        <w:t>时，容器内</w:t>
      </w:r>
      <w:r>
        <w:rPr>
          <w:rFonts w:hint="eastAsia"/>
          <w:sz w:val="24"/>
          <w:szCs w:val="24"/>
        </w:rPr>
        <w:t>水</w:t>
      </w:r>
      <w:r>
        <w:rPr>
          <w:sz w:val="24"/>
          <w:szCs w:val="24"/>
        </w:rPr>
        <w:t>的体积，也称公称容量；满口容量系指灌装</w:t>
      </w:r>
      <w:r>
        <w:rPr>
          <w:rFonts w:hint="eastAsia"/>
          <w:sz w:val="24"/>
          <w:szCs w:val="24"/>
        </w:rPr>
        <w:t>水的液面与</w:t>
      </w:r>
      <w:r>
        <w:rPr>
          <w:sz w:val="24"/>
          <w:szCs w:val="24"/>
        </w:rPr>
        <w:t>瓶口顶部</w:t>
      </w:r>
      <w:r>
        <w:rPr>
          <w:rFonts w:hint="eastAsia"/>
          <w:sz w:val="24"/>
          <w:szCs w:val="24"/>
        </w:rPr>
        <w:t>齐平</w:t>
      </w:r>
      <w:r>
        <w:rPr>
          <w:sz w:val="24"/>
          <w:szCs w:val="24"/>
        </w:rPr>
        <w:t>时容器</w:t>
      </w:r>
      <w:r>
        <w:rPr>
          <w:rFonts w:hint="eastAsia"/>
          <w:sz w:val="24"/>
          <w:szCs w:val="24"/>
        </w:rPr>
        <w:t>内水的体积</w:t>
      </w:r>
      <w:r>
        <w:rPr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测试环境：供试品和水均应在常温（</w:t>
      </w:r>
      <w:r>
        <w:rPr>
          <w:sz w:val="24"/>
          <w:szCs w:val="24"/>
        </w:rPr>
        <w:t>22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sz w:val="24"/>
          <w:szCs w:val="24"/>
        </w:rPr>
        <w:t>±5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下放置30分钟以上。</w:t>
      </w:r>
    </w:p>
    <w:p>
      <w:pPr>
        <w:spacing w:line="360" w:lineRule="auto"/>
        <w:ind w:firstLine="482" w:firstLineChars="20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第一法 间接法</w:t>
      </w:r>
    </w:p>
    <w:p>
      <w:pPr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sz w:val="24"/>
          <w:szCs w:val="24"/>
        </w:rPr>
        <w:t>本法用于玻璃容器的容量测定</w:t>
      </w:r>
      <w:r>
        <w:rPr>
          <w:rFonts w:hint="eastAsia"/>
          <w:sz w:val="24"/>
          <w:szCs w:val="24"/>
        </w:rPr>
        <w:t>，通过测量玻璃</w:t>
      </w:r>
      <w:r>
        <w:rPr>
          <w:sz w:val="24"/>
          <w:szCs w:val="24"/>
        </w:rPr>
        <w:t>容器</w:t>
      </w:r>
      <w:r>
        <w:rPr>
          <w:rFonts w:hint="eastAsia"/>
          <w:sz w:val="24"/>
          <w:szCs w:val="24"/>
        </w:rPr>
        <w:t>灌装前、后的重</w:t>
      </w:r>
      <w:r>
        <w:rPr>
          <w:sz w:val="24"/>
          <w:szCs w:val="24"/>
        </w:rPr>
        <w:t>量</w:t>
      </w:r>
      <w:r>
        <w:rPr>
          <w:rFonts w:hint="eastAsia"/>
          <w:sz w:val="24"/>
          <w:szCs w:val="24"/>
        </w:rPr>
        <w:t>差值，</w:t>
      </w:r>
      <w:r>
        <w:rPr>
          <w:sz w:val="24"/>
          <w:szCs w:val="24"/>
        </w:rPr>
        <w:t>计算</w:t>
      </w:r>
      <w:r>
        <w:rPr>
          <w:rFonts w:hint="eastAsia"/>
          <w:sz w:val="24"/>
          <w:szCs w:val="24"/>
        </w:rPr>
        <w:t>玻璃</w:t>
      </w:r>
      <w:r>
        <w:rPr>
          <w:sz w:val="24"/>
          <w:szCs w:val="24"/>
        </w:rPr>
        <w:t>容器的容量。</w:t>
      </w:r>
    </w:p>
    <w:p>
      <w:pPr>
        <w:spacing w:line="360" w:lineRule="auto"/>
        <w:ind w:firstLine="482" w:firstLineChars="200"/>
        <w:jc w:val="left"/>
        <w:rPr>
          <w:sz w:val="24"/>
          <w:szCs w:val="24"/>
        </w:rPr>
      </w:pPr>
      <w:r>
        <w:rPr>
          <w:b/>
          <w:sz w:val="24"/>
          <w:szCs w:val="24"/>
        </w:rPr>
        <w:t>仪器装置</w:t>
      </w:r>
      <w:r>
        <w:rPr>
          <w:sz w:val="24"/>
          <w:szCs w:val="24"/>
        </w:rPr>
        <w:t xml:space="preserve">  分析天平 灵敏度</w:t>
      </w:r>
      <w:r>
        <w:rPr>
          <w:rFonts w:hint="eastAsia"/>
          <w:sz w:val="24"/>
          <w:szCs w:val="24"/>
        </w:rPr>
        <w:t>为0.1g（当称重大于10g时，灵敏度不大于0.25g；当称重大于250g时，灵敏度不大于0. 5g；当称重大于1000g时，灵敏度不大于称重量的0. 125%）。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   测定法  </w:t>
      </w:r>
      <w:r>
        <w:rPr>
          <w:sz w:val="24"/>
          <w:szCs w:val="24"/>
        </w:rPr>
        <w:t>取供试品，</w:t>
      </w:r>
      <w:r>
        <w:rPr>
          <w:rFonts w:hint="eastAsia"/>
          <w:sz w:val="24"/>
          <w:szCs w:val="24"/>
        </w:rPr>
        <w:t>清除所有污垢或碎片，</w:t>
      </w:r>
      <w:r>
        <w:rPr>
          <w:sz w:val="24"/>
          <w:szCs w:val="24"/>
        </w:rPr>
        <w:t>将</w:t>
      </w:r>
      <w:r>
        <w:rPr>
          <w:rFonts w:hint="eastAsia"/>
          <w:sz w:val="24"/>
          <w:szCs w:val="24"/>
        </w:rPr>
        <w:t>供试品</w:t>
      </w:r>
      <w:r>
        <w:rPr>
          <w:sz w:val="24"/>
          <w:szCs w:val="24"/>
        </w:rPr>
        <w:t>置于天平上称量，记下重量m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（g），然后将</w:t>
      </w:r>
      <w:r>
        <w:rPr>
          <w:rFonts w:hint="eastAsia"/>
          <w:sz w:val="24"/>
          <w:szCs w:val="24"/>
        </w:rPr>
        <w:t>供试品</w:t>
      </w:r>
      <w:r>
        <w:rPr>
          <w:sz w:val="24"/>
          <w:szCs w:val="24"/>
        </w:rPr>
        <w:t>置于水平工作台上加水至规定位置（测定标线容量时，加水至液面与供试品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的标线齐平；测定满口容量时，加水至</w:t>
      </w:r>
      <w:r>
        <w:rPr>
          <w:rFonts w:hint="eastAsia"/>
          <w:sz w:val="24"/>
          <w:szCs w:val="24"/>
        </w:rPr>
        <w:t>液面</w:t>
      </w:r>
      <w:r>
        <w:rPr>
          <w:sz w:val="24"/>
          <w:szCs w:val="24"/>
        </w:rPr>
        <w:t>与供试品瓶口齐平），注意应保持</w:t>
      </w:r>
      <w:r>
        <w:rPr>
          <w:rFonts w:hint="eastAsia"/>
          <w:sz w:val="24"/>
          <w:szCs w:val="24"/>
        </w:rPr>
        <w:t>供试品</w:t>
      </w:r>
      <w:r>
        <w:rPr>
          <w:sz w:val="24"/>
          <w:szCs w:val="24"/>
        </w:rPr>
        <w:t>外壁干燥。再将</w:t>
      </w:r>
      <w:r>
        <w:rPr>
          <w:rFonts w:hint="eastAsia"/>
          <w:sz w:val="24"/>
          <w:szCs w:val="24"/>
        </w:rPr>
        <w:t>上述加</w:t>
      </w:r>
      <w:r>
        <w:rPr>
          <w:sz w:val="24"/>
          <w:szCs w:val="24"/>
        </w:rPr>
        <w:t>水</w:t>
      </w:r>
      <w:r>
        <w:rPr>
          <w:rFonts w:hint="eastAsia"/>
          <w:sz w:val="24"/>
          <w:szCs w:val="24"/>
        </w:rPr>
        <w:t>供试品</w:t>
      </w:r>
      <w:r>
        <w:rPr>
          <w:sz w:val="24"/>
          <w:szCs w:val="24"/>
        </w:rPr>
        <w:t>置于天平</w:t>
      </w:r>
      <w:r>
        <w:rPr>
          <w:rFonts w:hint="eastAsia"/>
          <w:sz w:val="24"/>
          <w:szCs w:val="24"/>
        </w:rPr>
        <w:t>上</w:t>
      </w:r>
      <w:r>
        <w:rPr>
          <w:sz w:val="24"/>
          <w:szCs w:val="24"/>
        </w:rPr>
        <w:t>称量，记下重量m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（g）。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结果计算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供试品</w:t>
      </w:r>
      <w:r>
        <w:rPr>
          <w:sz w:val="24"/>
          <w:szCs w:val="24"/>
        </w:rPr>
        <w:t>的容量V（标线容量或满口容量）按下式计算。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 =（m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- 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）/d</w:t>
      </w:r>
    </w:p>
    <w:p>
      <w:pPr>
        <w:spacing w:line="360" w:lineRule="auto"/>
        <w:ind w:firstLine="840" w:firstLineChars="350"/>
        <w:rPr>
          <w:sz w:val="24"/>
          <w:szCs w:val="24"/>
        </w:rPr>
      </w:pPr>
      <w:r>
        <w:rPr>
          <w:sz w:val="24"/>
          <w:szCs w:val="24"/>
        </w:rPr>
        <w:t>式中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V为标线容量或满口容量，ml</w:t>
      </w:r>
      <w:r>
        <w:rPr>
          <w:rFonts w:hint="eastAsia"/>
          <w:sz w:val="24"/>
          <w:szCs w:val="24"/>
        </w:rPr>
        <w:t>；</w:t>
      </w:r>
    </w:p>
    <w:p>
      <w:pPr>
        <w:spacing w:line="360" w:lineRule="auto"/>
        <w:ind w:firstLine="1680" w:firstLineChars="70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供试品的</w:t>
      </w:r>
      <w:r>
        <w:rPr>
          <w:sz w:val="24"/>
          <w:szCs w:val="24"/>
        </w:rPr>
        <w:t xml:space="preserve">重量，g； </w:t>
      </w:r>
    </w:p>
    <w:p>
      <w:pPr>
        <w:spacing w:line="360" w:lineRule="auto"/>
        <w:ind w:firstLine="1680" w:firstLineChars="70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为供试品与水的重量，g； </w:t>
      </w:r>
    </w:p>
    <w:p>
      <w:pPr>
        <w:spacing w:line="360" w:lineRule="auto"/>
        <w:ind w:firstLine="1680" w:firstLineChars="70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d 为水的密度（常温下为1g/ml ）。</w:t>
      </w:r>
      <w:r>
        <w:rPr>
          <w:rFonts w:ascii="Calibri" w:hAnsi="Calibri"/>
          <w:sz w:val="24"/>
          <w:szCs w:val="24"/>
        </w:rPr>
        <w:t xml:space="preserve"> </w:t>
      </w:r>
    </w:p>
    <w:p>
      <w:pPr>
        <w:spacing w:line="360" w:lineRule="auto"/>
        <w:ind w:firstLine="482" w:firstLineChars="200"/>
        <w:jc w:val="left"/>
        <w:rPr>
          <w:rFonts w:ascii="Calibri" w:hAnsi="Calibri"/>
          <w:b/>
          <w:sz w:val="24"/>
          <w:szCs w:val="24"/>
        </w:rPr>
      </w:pPr>
      <w:r>
        <w:rPr>
          <w:rFonts w:hint="eastAsia" w:ascii="Calibri" w:hAnsi="Calibri"/>
          <w:b/>
          <w:sz w:val="24"/>
          <w:szCs w:val="24"/>
        </w:rPr>
        <w:t>第二法 直接法</w:t>
      </w:r>
    </w:p>
    <w:p>
      <w:pPr>
        <w:spacing w:line="360" w:lineRule="auto"/>
        <w:ind w:firstLine="482" w:firstLineChars="200"/>
        <w:jc w:val="left"/>
        <w:rPr>
          <w:rFonts w:ascii="Calibri" w:hAnsi="Calibri"/>
        </w:rPr>
      </w:pPr>
      <w:r>
        <w:rPr>
          <w:rFonts w:hint="eastAsia" w:ascii="Calibri" w:hAnsi="Calibri"/>
          <w:b/>
          <w:sz w:val="24"/>
          <w:szCs w:val="24"/>
        </w:rPr>
        <w:t>测定法</w:t>
      </w:r>
      <w:r>
        <w:rPr>
          <w:rFonts w:hint="eastAsia" w:ascii="Calibri" w:hAnsi="Calibri"/>
          <w:sz w:val="24"/>
          <w:szCs w:val="24"/>
        </w:rPr>
        <w:t xml:space="preserve"> 取供试品，加水至规定位置</w:t>
      </w:r>
      <w:r>
        <w:rPr>
          <w:sz w:val="24"/>
          <w:szCs w:val="24"/>
        </w:rPr>
        <w:t>（测定标线容量时，加水至液面与供试品内的标线齐平；测定满口容量时，加水至液面与供试品瓶口齐平）</w:t>
      </w:r>
      <w:r>
        <w:rPr>
          <w:rFonts w:hint="eastAsia"/>
          <w:sz w:val="24"/>
          <w:szCs w:val="24"/>
        </w:rPr>
        <w:t>，</w:t>
      </w:r>
      <w:r>
        <w:rPr>
          <w:rFonts w:hint="eastAsia" w:ascii="Calibri" w:hAnsi="Calibri"/>
          <w:sz w:val="24"/>
          <w:szCs w:val="24"/>
        </w:rPr>
        <w:t>将水转移至预经标化的干燥量入式量筒中（量具的大小应使待测体积至少占其额定体积的40% ），尽量倾净。读出每个供试品中水的体积，即为每个供试品的标线容量或满口容量。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5.25pt;margin-top:9.55pt;height:1.2pt;width:412.2pt;z-index:251659264;mso-width-relative:page;mso-height-relative:page;" filled="f" stroked="t" coordsize="21600,21600" o:gfxdata="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FxKGdcAAAAJAQAADwAAAAAAAAAB&#10;ACAAAAAiAAAAZHJzL2Rvd25yZXYueG1sUEsBAhQAFAAAAAgAh07iQJpOQdrYAQAAtg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起草单位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中国食品药品检定研究院       联系电话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010-67095110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参与单位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食品药品检定研究院、中国医药包装协会、国家食品药品监督管理局药品包装材料科研检验中心、北京市药品包装材料检验所、山西省药品检验所、江西省药品检验检测研究院、深圳市药品检验研究院、山东省药用玻璃股份有限公司、成都平原尼普洛药业包装有限公司</w:t>
      </w:r>
    </w:p>
    <w:p>
      <w:pPr>
        <w:pStyle w:val="6"/>
        <w:suppressLineNumbers/>
        <w:spacing w:line="360" w:lineRule="auto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玻璃容器容量测定法起草</w:t>
      </w:r>
      <w:r>
        <w:rPr>
          <w:rFonts w:hAnsi="宋体"/>
          <w:b/>
          <w:sz w:val="24"/>
          <w:szCs w:val="24"/>
        </w:rPr>
        <w:t>说明</w:t>
      </w:r>
    </w:p>
    <w:p>
      <w:pPr>
        <w:pStyle w:val="6"/>
        <w:suppressLineNumbers/>
        <w:spacing w:line="360" w:lineRule="auto"/>
        <w:rPr>
          <w:rFonts w:hAnsi="宋体"/>
          <w:color w:val="FF0000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一</w:t>
      </w:r>
      <w:r>
        <w:rPr>
          <w:rFonts w:hAnsi="宋体"/>
          <w:sz w:val="24"/>
          <w:szCs w:val="24"/>
        </w:rPr>
        <w:t>、</w:t>
      </w:r>
      <w:r>
        <w:rPr>
          <w:rFonts w:hint="eastAsia" w:hAnsi="宋体"/>
          <w:sz w:val="24"/>
          <w:szCs w:val="24"/>
        </w:rPr>
        <w:t>制修订的目的意义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为有效加强对药用玻璃材料和容器的质量控制，便于药品生产企业的使用，根据国家药典委员会构建药包材标准体系的要求，制定玻璃容器容量测定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二</w:t>
      </w:r>
      <w:r>
        <w:rPr>
          <w:rFonts w:hAnsi="宋体"/>
          <w:sz w:val="24"/>
          <w:szCs w:val="24"/>
        </w:rPr>
        <w:t>、</w:t>
      </w:r>
      <w:r>
        <w:rPr>
          <w:rFonts w:hint="eastAsia" w:hAnsi="宋体"/>
          <w:sz w:val="24"/>
          <w:szCs w:val="24"/>
        </w:rPr>
        <w:t>起草过程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 现有标准比对。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 各参与单位关于本标准的意见反馈及实验室验证。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3. 形成“玻璃容器容量测定法”征求意见稿。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三、制订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总体思路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遵循药典委对药包材标准体系的架构思路，参考《中国药典》（2020年版）通则0942最低装量检查法中的容量法、《国家药包材标准》钠钙玻璃输液瓶YBB00032005-2015、低硼硅玻璃输液瓶YBB00012004-2015、中硼硅玻璃输液瓶YBB00022005-2-2015、钠钙玻璃模制药瓶YBB00272002-2015、低硼硅玻璃模制药瓶YBB00302003-2015、硼硅玻璃模制药瓶YBB00052004-2015和玻璃容器 用重量法测定容量试验方法GB/T 20858-2007、医用输液器具第1部分：玻璃输液瓶ISO 8106:2004、ISO8362-1:2009相关内容，并进行实验验证，制定检测方法。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四、需重点说明的问题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 按《中国药典》2020年版格式编制本方法。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 按《中国药典》2020年版及药包材标准命名原则，拟定标准名称为：玻璃容器容量测定法。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3. 按现有产品标准和方法标准，起草标准分为直接法和间接法；参考《中国药典》（2020年版）通则0942最低装量检查法中的容量法，设定直接法，用量筒直接量取罐装在玻璃容器中至规定位置的水的体积；参考《国家药包材标准》相关产品标准和GB/T 20858-2007、ISO 8106:2004、ISO8362-1:2009，设定间接法，用天平称取玻璃容量罐装水的前、后重量，计算容器的容量。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4. 方法规定了称取不同规格玻璃容器使用天平的精度，试验温度范围。</w:t>
      </w:r>
    </w:p>
    <w:sectPr>
      <w:headerReference r:id="rId5" w:type="first"/>
      <w:headerReference r:id="rId3" w:type="default"/>
      <w:footerReference r:id="rId6" w:type="default"/>
      <w:headerReference r:id="rId4" w:type="even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cs="Times New Roman"/>
      </w:rPr>
    </w:pPr>
    <w:r>
      <w:rPr>
        <w:rFonts w:ascii="华文仿宋" w:hAnsi="华文仿宋" w:eastAsia="华文仿宋" w:cs="华文仿宋"/>
        <w:sz w:val="21"/>
        <w:szCs w:val="21"/>
      </w:rPr>
      <w:fldChar w:fldCharType="begin"/>
    </w:r>
    <w:r>
      <w:rPr>
        <w:rFonts w:ascii="华文仿宋" w:hAnsi="华文仿宋" w:eastAsia="华文仿宋" w:cs="华文仿宋"/>
        <w:sz w:val="21"/>
        <w:szCs w:val="21"/>
      </w:rPr>
      <w:instrText xml:space="preserve"> PAGE   \* MERGEFORMAT </w:instrText>
    </w:r>
    <w:r>
      <w:rPr>
        <w:rFonts w:ascii="华文仿宋" w:hAnsi="华文仿宋" w:eastAsia="华文仿宋" w:cs="华文仿宋"/>
        <w:sz w:val="21"/>
        <w:szCs w:val="21"/>
      </w:rPr>
      <w:fldChar w:fldCharType="separate"/>
    </w:r>
    <w:r>
      <w:rPr>
        <w:rFonts w:ascii="华文仿宋" w:hAnsi="华文仿宋" w:eastAsia="华文仿宋" w:cs="华文仿宋"/>
        <w:sz w:val="21"/>
        <w:szCs w:val="21"/>
        <w:lang w:val="zh-CN"/>
      </w:rPr>
      <w:t>3</w:t>
    </w:r>
    <w:r>
      <w:rPr>
        <w:rFonts w:ascii="华文仿宋" w:hAnsi="华文仿宋" w:eastAsia="华文仿宋" w:cs="华文仿宋"/>
        <w:sz w:val="21"/>
        <w:szCs w:val="21"/>
      </w:rPr>
      <w:fldChar w:fldCharType="end"/>
    </w:r>
  </w:p>
  <w:p>
    <w:pPr>
      <w:pStyle w:val="9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3993"/>
        <w:tab w:val="right" w:pos="7987"/>
        <w:tab w:val="clear" w:pos="4153"/>
        <w:tab w:val="clear" w:pos="8306"/>
      </w:tabs>
    </w:pPr>
    <w:r>
      <w:pict>
        <v:shape id="PowerPlusWaterMarkObject3945033" o:spid="_x0000_s2054" o:spt="136" type="#_x0000_t136" style="position:absolute;left:0pt;height:93.8pt;width:469.2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  <w:r>
      <w:t xml:space="preserve">                                                                         </w:t>
    </w:r>
    <w:r>
      <w:rPr>
        <w:rFonts w:hint="eastAsia"/>
      </w:rPr>
      <w:t>2022年6</w:t>
    </w:r>
    <w:r>
      <w:t>月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2" o:spid="_x0000_s2053" o:spt="136" type="#_x0000_t136" style="position:absolute;left:0pt;height:93.8pt;width:469.2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1" o:spid="_x0000_s2052" o:spt="136" type="#_x0000_t136" style="position:absolute;left:0pt;height:93.8pt;width:469.2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mQ4N2ZiNWJhYzY2NGI4ZjAyNjk0YmUwODQ1ZGIifQ=="/>
  </w:docVars>
  <w:rsids>
    <w:rsidRoot w:val="00A4732B"/>
    <w:rsid w:val="00012A9D"/>
    <w:rsid w:val="00015814"/>
    <w:rsid w:val="00021A46"/>
    <w:rsid w:val="0002482F"/>
    <w:rsid w:val="00050ABA"/>
    <w:rsid w:val="0005156E"/>
    <w:rsid w:val="00051B62"/>
    <w:rsid w:val="000601A8"/>
    <w:rsid w:val="000775AE"/>
    <w:rsid w:val="00084FD5"/>
    <w:rsid w:val="00097240"/>
    <w:rsid w:val="000A3B4E"/>
    <w:rsid w:val="000A4652"/>
    <w:rsid w:val="000B4C1A"/>
    <w:rsid w:val="000B6C95"/>
    <w:rsid w:val="000C5051"/>
    <w:rsid w:val="000D66F9"/>
    <w:rsid w:val="000F14A5"/>
    <w:rsid w:val="00101F14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81905"/>
    <w:rsid w:val="00182D0C"/>
    <w:rsid w:val="00193EAF"/>
    <w:rsid w:val="001A5EBE"/>
    <w:rsid w:val="001B2A81"/>
    <w:rsid w:val="001B4C3E"/>
    <w:rsid w:val="001C3B74"/>
    <w:rsid w:val="001D5B59"/>
    <w:rsid w:val="001E36B7"/>
    <w:rsid w:val="001E3FB8"/>
    <w:rsid w:val="001E43CF"/>
    <w:rsid w:val="001F2CAA"/>
    <w:rsid w:val="001F5BCF"/>
    <w:rsid w:val="00206B5E"/>
    <w:rsid w:val="00206DCF"/>
    <w:rsid w:val="00211684"/>
    <w:rsid w:val="00222754"/>
    <w:rsid w:val="00242D6A"/>
    <w:rsid w:val="00245C5C"/>
    <w:rsid w:val="00245D42"/>
    <w:rsid w:val="00255443"/>
    <w:rsid w:val="00255EFE"/>
    <w:rsid w:val="00266913"/>
    <w:rsid w:val="00271C40"/>
    <w:rsid w:val="002744AB"/>
    <w:rsid w:val="00276022"/>
    <w:rsid w:val="00285E24"/>
    <w:rsid w:val="002A3ADF"/>
    <w:rsid w:val="002A5F4B"/>
    <w:rsid w:val="002B7535"/>
    <w:rsid w:val="002C465B"/>
    <w:rsid w:val="002D06AF"/>
    <w:rsid w:val="002D5037"/>
    <w:rsid w:val="002D76DF"/>
    <w:rsid w:val="0030548B"/>
    <w:rsid w:val="00307D05"/>
    <w:rsid w:val="00315205"/>
    <w:rsid w:val="00317372"/>
    <w:rsid w:val="0033758F"/>
    <w:rsid w:val="003522DE"/>
    <w:rsid w:val="00354461"/>
    <w:rsid w:val="00356A05"/>
    <w:rsid w:val="00364BAA"/>
    <w:rsid w:val="003864D2"/>
    <w:rsid w:val="00393FCE"/>
    <w:rsid w:val="00397392"/>
    <w:rsid w:val="003A38F6"/>
    <w:rsid w:val="003B63C3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30FC"/>
    <w:rsid w:val="00403FD5"/>
    <w:rsid w:val="00405357"/>
    <w:rsid w:val="00415500"/>
    <w:rsid w:val="00421238"/>
    <w:rsid w:val="0043287B"/>
    <w:rsid w:val="004354AB"/>
    <w:rsid w:val="00435604"/>
    <w:rsid w:val="00443A40"/>
    <w:rsid w:val="004456E7"/>
    <w:rsid w:val="00447DD1"/>
    <w:rsid w:val="00453861"/>
    <w:rsid w:val="004542D8"/>
    <w:rsid w:val="00466DA0"/>
    <w:rsid w:val="00494805"/>
    <w:rsid w:val="00496E00"/>
    <w:rsid w:val="004A39CC"/>
    <w:rsid w:val="004B4A9B"/>
    <w:rsid w:val="004D1836"/>
    <w:rsid w:val="004E3EA1"/>
    <w:rsid w:val="004E4D21"/>
    <w:rsid w:val="004E6BDF"/>
    <w:rsid w:val="004E6F87"/>
    <w:rsid w:val="004E748E"/>
    <w:rsid w:val="004F53C9"/>
    <w:rsid w:val="00507976"/>
    <w:rsid w:val="00527BD2"/>
    <w:rsid w:val="00531461"/>
    <w:rsid w:val="0053211E"/>
    <w:rsid w:val="00536D43"/>
    <w:rsid w:val="00543BE4"/>
    <w:rsid w:val="00547E3C"/>
    <w:rsid w:val="0055110A"/>
    <w:rsid w:val="00570AF7"/>
    <w:rsid w:val="00577C18"/>
    <w:rsid w:val="0058652D"/>
    <w:rsid w:val="00594421"/>
    <w:rsid w:val="005A2F34"/>
    <w:rsid w:val="005A76B2"/>
    <w:rsid w:val="005B26EA"/>
    <w:rsid w:val="005C2792"/>
    <w:rsid w:val="005C4A22"/>
    <w:rsid w:val="005D39B6"/>
    <w:rsid w:val="005D6EF7"/>
    <w:rsid w:val="005E3D7C"/>
    <w:rsid w:val="00616C23"/>
    <w:rsid w:val="00617897"/>
    <w:rsid w:val="00621A38"/>
    <w:rsid w:val="00625665"/>
    <w:rsid w:val="00634E3E"/>
    <w:rsid w:val="00640BAD"/>
    <w:rsid w:val="00642E64"/>
    <w:rsid w:val="006503FB"/>
    <w:rsid w:val="00655DB5"/>
    <w:rsid w:val="006576EF"/>
    <w:rsid w:val="0066507A"/>
    <w:rsid w:val="00666690"/>
    <w:rsid w:val="00667EBE"/>
    <w:rsid w:val="00676338"/>
    <w:rsid w:val="006816C9"/>
    <w:rsid w:val="00683A01"/>
    <w:rsid w:val="00683B17"/>
    <w:rsid w:val="0068490A"/>
    <w:rsid w:val="00685D74"/>
    <w:rsid w:val="00690780"/>
    <w:rsid w:val="006A1FAE"/>
    <w:rsid w:val="006A6131"/>
    <w:rsid w:val="006B1F94"/>
    <w:rsid w:val="006C4733"/>
    <w:rsid w:val="006C5A18"/>
    <w:rsid w:val="006C64C9"/>
    <w:rsid w:val="006D476F"/>
    <w:rsid w:val="006E04E0"/>
    <w:rsid w:val="006E3EBE"/>
    <w:rsid w:val="006E68AE"/>
    <w:rsid w:val="00711418"/>
    <w:rsid w:val="00713D8C"/>
    <w:rsid w:val="00716C7B"/>
    <w:rsid w:val="00724E58"/>
    <w:rsid w:val="00753E58"/>
    <w:rsid w:val="00756FD6"/>
    <w:rsid w:val="007646F4"/>
    <w:rsid w:val="00764A64"/>
    <w:rsid w:val="00772194"/>
    <w:rsid w:val="00780F1B"/>
    <w:rsid w:val="007973B4"/>
    <w:rsid w:val="007A16BA"/>
    <w:rsid w:val="007A198F"/>
    <w:rsid w:val="007C1156"/>
    <w:rsid w:val="007C4612"/>
    <w:rsid w:val="007D10CC"/>
    <w:rsid w:val="007E10AB"/>
    <w:rsid w:val="007F7A8B"/>
    <w:rsid w:val="00800C4E"/>
    <w:rsid w:val="00814C8C"/>
    <w:rsid w:val="008166AD"/>
    <w:rsid w:val="00817D45"/>
    <w:rsid w:val="00817FD3"/>
    <w:rsid w:val="008271D8"/>
    <w:rsid w:val="00832827"/>
    <w:rsid w:val="00847034"/>
    <w:rsid w:val="00847D17"/>
    <w:rsid w:val="00877A0B"/>
    <w:rsid w:val="00885B5E"/>
    <w:rsid w:val="008918FF"/>
    <w:rsid w:val="008A39AC"/>
    <w:rsid w:val="008B430F"/>
    <w:rsid w:val="008C214D"/>
    <w:rsid w:val="008D136A"/>
    <w:rsid w:val="00913A37"/>
    <w:rsid w:val="00914822"/>
    <w:rsid w:val="00923FDC"/>
    <w:rsid w:val="00926647"/>
    <w:rsid w:val="00935FAA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E170D"/>
    <w:rsid w:val="009E5154"/>
    <w:rsid w:val="009E7092"/>
    <w:rsid w:val="009E7344"/>
    <w:rsid w:val="009F2B88"/>
    <w:rsid w:val="00A05B38"/>
    <w:rsid w:val="00A06A51"/>
    <w:rsid w:val="00A16B00"/>
    <w:rsid w:val="00A24C40"/>
    <w:rsid w:val="00A3310A"/>
    <w:rsid w:val="00A3442E"/>
    <w:rsid w:val="00A4732B"/>
    <w:rsid w:val="00A503AE"/>
    <w:rsid w:val="00A54F6C"/>
    <w:rsid w:val="00A62A0B"/>
    <w:rsid w:val="00A758FA"/>
    <w:rsid w:val="00A81A8D"/>
    <w:rsid w:val="00A8508C"/>
    <w:rsid w:val="00A94A14"/>
    <w:rsid w:val="00AA0017"/>
    <w:rsid w:val="00AA6575"/>
    <w:rsid w:val="00AB00A4"/>
    <w:rsid w:val="00AC60B7"/>
    <w:rsid w:val="00AE4B2E"/>
    <w:rsid w:val="00AE4D72"/>
    <w:rsid w:val="00AF14FA"/>
    <w:rsid w:val="00B04439"/>
    <w:rsid w:val="00B102D2"/>
    <w:rsid w:val="00B24CB7"/>
    <w:rsid w:val="00B31F2D"/>
    <w:rsid w:val="00B415A7"/>
    <w:rsid w:val="00B47738"/>
    <w:rsid w:val="00B50E2F"/>
    <w:rsid w:val="00B5195E"/>
    <w:rsid w:val="00B55F90"/>
    <w:rsid w:val="00B61F5B"/>
    <w:rsid w:val="00B62F4E"/>
    <w:rsid w:val="00B942E1"/>
    <w:rsid w:val="00B94B78"/>
    <w:rsid w:val="00B97192"/>
    <w:rsid w:val="00BA7B81"/>
    <w:rsid w:val="00BB3F7E"/>
    <w:rsid w:val="00BB48EF"/>
    <w:rsid w:val="00BC0285"/>
    <w:rsid w:val="00BC05A4"/>
    <w:rsid w:val="00BC6E19"/>
    <w:rsid w:val="00BD42DF"/>
    <w:rsid w:val="00BD7EBD"/>
    <w:rsid w:val="00BE0BA8"/>
    <w:rsid w:val="00BE3F76"/>
    <w:rsid w:val="00BE6B69"/>
    <w:rsid w:val="00BF772E"/>
    <w:rsid w:val="00C0359B"/>
    <w:rsid w:val="00C12CCE"/>
    <w:rsid w:val="00C21170"/>
    <w:rsid w:val="00C21CE3"/>
    <w:rsid w:val="00C25AFF"/>
    <w:rsid w:val="00C266AC"/>
    <w:rsid w:val="00C350F2"/>
    <w:rsid w:val="00C51000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D33A2"/>
    <w:rsid w:val="00CE0E95"/>
    <w:rsid w:val="00CE4E23"/>
    <w:rsid w:val="00CF026C"/>
    <w:rsid w:val="00D12793"/>
    <w:rsid w:val="00D221D1"/>
    <w:rsid w:val="00D23DBA"/>
    <w:rsid w:val="00D257C3"/>
    <w:rsid w:val="00D30211"/>
    <w:rsid w:val="00D32755"/>
    <w:rsid w:val="00D33D18"/>
    <w:rsid w:val="00D3669B"/>
    <w:rsid w:val="00D42881"/>
    <w:rsid w:val="00D4696C"/>
    <w:rsid w:val="00D5064C"/>
    <w:rsid w:val="00D6170E"/>
    <w:rsid w:val="00D62862"/>
    <w:rsid w:val="00D81D4B"/>
    <w:rsid w:val="00D84AF0"/>
    <w:rsid w:val="00D93AEC"/>
    <w:rsid w:val="00D94CAD"/>
    <w:rsid w:val="00D95CD1"/>
    <w:rsid w:val="00D97F9F"/>
    <w:rsid w:val="00DA0FB8"/>
    <w:rsid w:val="00DC1ECE"/>
    <w:rsid w:val="00DE0063"/>
    <w:rsid w:val="00DE4EB1"/>
    <w:rsid w:val="00DE5DFC"/>
    <w:rsid w:val="00DF6694"/>
    <w:rsid w:val="00E035CC"/>
    <w:rsid w:val="00E16B66"/>
    <w:rsid w:val="00E31BF5"/>
    <w:rsid w:val="00E3643B"/>
    <w:rsid w:val="00E45298"/>
    <w:rsid w:val="00E45BB7"/>
    <w:rsid w:val="00E46334"/>
    <w:rsid w:val="00E77286"/>
    <w:rsid w:val="00E83CFD"/>
    <w:rsid w:val="00E864E2"/>
    <w:rsid w:val="00EA4909"/>
    <w:rsid w:val="00EA590A"/>
    <w:rsid w:val="00EB4B81"/>
    <w:rsid w:val="00EC0122"/>
    <w:rsid w:val="00EC290F"/>
    <w:rsid w:val="00EC62CE"/>
    <w:rsid w:val="00ED08B2"/>
    <w:rsid w:val="00ED730B"/>
    <w:rsid w:val="00EE2DBC"/>
    <w:rsid w:val="00EF1C71"/>
    <w:rsid w:val="00EF36A5"/>
    <w:rsid w:val="00EF481A"/>
    <w:rsid w:val="00F06313"/>
    <w:rsid w:val="00F16AEB"/>
    <w:rsid w:val="00F24BA7"/>
    <w:rsid w:val="00F26D34"/>
    <w:rsid w:val="00F330D6"/>
    <w:rsid w:val="00F41812"/>
    <w:rsid w:val="00F45E68"/>
    <w:rsid w:val="00F557CB"/>
    <w:rsid w:val="00F63948"/>
    <w:rsid w:val="00F742A0"/>
    <w:rsid w:val="00F87752"/>
    <w:rsid w:val="00F96010"/>
    <w:rsid w:val="00FA6CD1"/>
    <w:rsid w:val="00FC0659"/>
    <w:rsid w:val="00FC45FE"/>
    <w:rsid w:val="00FE7A7A"/>
    <w:rsid w:val="00FF149C"/>
    <w:rsid w:val="233C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1"/>
    <w:next w:val="1"/>
    <w:link w:val="19"/>
    <w:qFormat/>
    <w:uiPriority w:val="99"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qFormat/>
    <w:uiPriority w:val="99"/>
    <w:pPr>
      <w:jc w:val="left"/>
    </w:pPr>
    <w:rPr>
      <w:kern w:val="0"/>
      <w:sz w:val="20"/>
      <w:szCs w:val="20"/>
    </w:rPr>
  </w:style>
  <w:style w:type="paragraph" w:styleId="5">
    <w:name w:val="Body Text"/>
    <w:basedOn w:val="1"/>
    <w:link w:val="28"/>
    <w:semiHidden/>
    <w:qFormat/>
    <w:uiPriority w:val="99"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6">
    <w:name w:val="Plain Text"/>
    <w:basedOn w:val="1"/>
    <w:link w:val="22"/>
    <w:qFormat/>
    <w:uiPriority w:val="99"/>
    <w:rPr>
      <w:rFonts w:ascii="宋体" w:hAnsi="Courier New" w:cs="宋体"/>
      <w:kern w:val="0"/>
      <w:sz w:val="20"/>
      <w:szCs w:val="20"/>
    </w:rPr>
  </w:style>
  <w:style w:type="paragraph" w:styleId="7">
    <w:name w:val="endnote text"/>
    <w:basedOn w:val="1"/>
    <w:link w:val="27"/>
    <w:semiHidden/>
    <w:qFormat/>
    <w:uiPriority w:val="99"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8">
    <w:name w:val="Balloon Text"/>
    <w:basedOn w:val="1"/>
    <w:link w:val="24"/>
    <w:semiHidden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10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11">
    <w:name w:val="annotation subject"/>
    <w:basedOn w:val="4"/>
    <w:next w:val="4"/>
    <w:link w:val="25"/>
    <w:semiHidden/>
    <w:uiPriority w:val="99"/>
    <w:rPr>
      <w:b/>
      <w:bCs/>
    </w:rPr>
  </w:style>
  <w:style w:type="table" w:styleId="13">
    <w:name w:val="Table Grid"/>
    <w:basedOn w:val="12"/>
    <w:qFormat/>
    <w:uiPriority w:val="99"/>
    <w:pPr>
      <w:spacing w:line="360" w:lineRule="auto"/>
      <w:ind w:left="425" w:hanging="425"/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endnote reference"/>
    <w:semiHidden/>
    <w:qFormat/>
    <w:uiPriority w:val="99"/>
    <w:rPr>
      <w:vertAlign w:val="superscript"/>
    </w:rPr>
  </w:style>
  <w:style w:type="character" w:styleId="16">
    <w:name w:val="line number"/>
    <w:basedOn w:val="14"/>
    <w:semiHidden/>
    <w:unhideWhenUsed/>
    <w:uiPriority w:val="99"/>
  </w:style>
  <w:style w:type="character" w:styleId="17">
    <w:name w:val="annotation reference"/>
    <w:semiHidden/>
    <w:uiPriority w:val="99"/>
    <w:rPr>
      <w:sz w:val="21"/>
      <w:szCs w:val="21"/>
    </w:rPr>
  </w:style>
  <w:style w:type="character" w:customStyle="1" w:styleId="18">
    <w:name w:val="标题 2 字符"/>
    <w:link w:val="2"/>
    <w:semiHidden/>
    <w:qFormat/>
    <w:locked/>
    <w:uiPriority w:val="99"/>
    <w:rPr>
      <w:rFonts w:ascii="Calibri Light" w:hAnsi="Calibri Light" w:eastAsia="宋体" w:cs="Calibri Light"/>
      <w:b/>
      <w:bCs/>
      <w:sz w:val="32"/>
      <w:szCs w:val="32"/>
    </w:rPr>
  </w:style>
  <w:style w:type="character" w:customStyle="1" w:styleId="19">
    <w:name w:val="标题 3 字符"/>
    <w:link w:val="3"/>
    <w:qFormat/>
    <w:locked/>
    <w:uiPriority w:val="99"/>
    <w:rPr>
      <w:b/>
      <w:bCs/>
      <w:sz w:val="32"/>
      <w:szCs w:val="32"/>
    </w:rPr>
  </w:style>
  <w:style w:type="character" w:customStyle="1" w:styleId="20">
    <w:name w:val="页眉 字符"/>
    <w:link w:val="10"/>
    <w:qFormat/>
    <w:locked/>
    <w:uiPriority w:val="99"/>
    <w:rPr>
      <w:sz w:val="18"/>
      <w:szCs w:val="18"/>
    </w:rPr>
  </w:style>
  <w:style w:type="character" w:customStyle="1" w:styleId="21">
    <w:name w:val="页脚 字符"/>
    <w:link w:val="9"/>
    <w:qFormat/>
    <w:locked/>
    <w:uiPriority w:val="99"/>
    <w:rPr>
      <w:sz w:val="18"/>
      <w:szCs w:val="18"/>
    </w:rPr>
  </w:style>
  <w:style w:type="character" w:customStyle="1" w:styleId="22">
    <w:name w:val="纯文本 字符"/>
    <w:link w:val="6"/>
    <w:qFormat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3">
    <w:name w:val="批注文字 字符"/>
    <w:link w:val="4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4">
    <w:name w:val="批注框文本 字符"/>
    <w:link w:val="8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批注主题 字符"/>
    <w:link w:val="11"/>
    <w:semiHidden/>
    <w:qFormat/>
    <w:locked/>
    <w:uiPriority w:val="99"/>
    <w:rPr>
      <w:rFonts w:ascii="Times New Roman" w:hAnsi="Times New Roman" w:eastAsia="宋体" w:cs="Times New Roman"/>
      <w:b/>
      <w:bCs/>
      <w:sz w:val="20"/>
      <w:szCs w:val="20"/>
    </w:rPr>
  </w:style>
  <w:style w:type="paragraph" w:customStyle="1" w:styleId="2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7">
    <w:name w:val="尾注文本 字符"/>
    <w:link w:val="7"/>
    <w:semiHidden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8">
    <w:name w:val="正文文本 字符"/>
    <w:link w:val="5"/>
    <w:semiHidden/>
    <w:qFormat/>
    <w:locked/>
    <w:uiPriority w:val="99"/>
    <w:rPr>
      <w:rFonts w:ascii="Times New Roman" w:hAnsi="Times New Roman" w:eastAsia="宋体" w:cs="Times New Roman"/>
      <w:color w:val="000000"/>
      <w:kern w:val="0"/>
      <w:sz w:val="20"/>
      <w:szCs w:val="20"/>
    </w:rPr>
  </w:style>
  <w:style w:type="paragraph" w:styleId="29">
    <w:name w:val="List Paragraph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paragraph" w:customStyle="1" w:styleId="30">
    <w:name w:val="列出段落1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character" w:customStyle="1" w:styleId="31">
    <w:name w:val="apple-converted-space"/>
    <w:basedOn w:val="14"/>
    <w:qFormat/>
    <w:uiPriority w:val="99"/>
  </w:style>
  <w:style w:type="paragraph" w:customStyle="1" w:styleId="32">
    <w:name w:val="Normal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table" w:customStyle="1" w:styleId="33">
    <w:name w:val="网格型2"/>
    <w:basedOn w:val="12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120B31-6FED-47D0-9453-6E6AA1F2CC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sidc</Company>
  <Pages>3</Pages>
  <Words>1367</Words>
  <Characters>1609</Characters>
  <Lines>12</Lines>
  <Paragraphs>3</Paragraphs>
  <TotalTime>24</TotalTime>
  <ScaleCrop>false</ScaleCrop>
  <LinksUpToDate>false</LinksUpToDate>
  <CharactersWithSpaces>1661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2022-06-13T01:33:00Z</dcterms:created>
  <dc:creator>Fan Yiling</dc:creator>
  <cp:lastModifiedBy>姜恒</cp:lastModifiedBy>
  <cp:lastPrinted>2018-05-11T09:20:00Z</cp:lastPrinted>
  <dcterms:modified xsi:type="dcterms:W3CDTF">2022-06-29T07:34:03Z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37FA0AC8CB104C13906DD5F37E3FB3DD</vt:lpwstr>
  </property>
</Properties>
</file>