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uppressLineNumbers/>
        <w:spacing w:line="360" w:lineRule="auto"/>
        <w:rPr>
          <w:rFonts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附件</w:t>
      </w:r>
      <w:r>
        <w:rPr>
          <w:rFonts w:hint="eastAsia" w:hAnsi="宋体"/>
          <w:b/>
          <w:sz w:val="24"/>
          <w:szCs w:val="24"/>
          <w:lang w:val="en-US" w:eastAsia="zh-CN"/>
        </w:rPr>
        <w:t>2</w:t>
      </w:r>
      <w:bookmarkStart w:id="0" w:name="_GoBack"/>
      <w:bookmarkEnd w:id="0"/>
      <w:r>
        <w:rPr>
          <w:rFonts w:hAnsi="宋体"/>
          <w:b/>
          <w:sz w:val="24"/>
          <w:szCs w:val="24"/>
        </w:rPr>
        <w:t>-12</w:t>
      </w:r>
      <w:r>
        <w:rPr>
          <w:rFonts w:hint="eastAsia" w:hAnsi="宋体"/>
          <w:b/>
          <w:sz w:val="24"/>
          <w:szCs w:val="24"/>
        </w:rPr>
        <w:t>：玻璃三氧化二硼测定法征求意见稿</w:t>
      </w:r>
    </w:p>
    <w:p>
      <w:pPr>
        <w:pStyle w:val="6"/>
        <w:suppressLineNumbers/>
        <w:spacing w:line="360" w:lineRule="auto"/>
        <w:rPr>
          <w:rFonts w:hAnsi="宋体"/>
          <w:b/>
          <w:sz w:val="24"/>
          <w:szCs w:val="24"/>
        </w:rPr>
      </w:pPr>
    </w:p>
    <w:p>
      <w:pPr>
        <w:pStyle w:val="6"/>
        <w:suppressLineNumbers/>
        <w:spacing w:line="360" w:lineRule="auto"/>
        <w:rPr>
          <w:rFonts w:hAnsi="宋体"/>
          <w:b/>
          <w:sz w:val="24"/>
          <w:szCs w:val="24"/>
        </w:rPr>
      </w:pPr>
    </w:p>
    <w:p>
      <w:pPr>
        <w:pStyle w:val="6"/>
        <w:spacing w:line="360" w:lineRule="auto"/>
        <w:ind w:firstLine="4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trike/>
          <w:color w:val="FF0000"/>
          <w:sz w:val="24"/>
          <w:szCs w:val="24"/>
        </w:rPr>
        <w:t>4009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  <w:t>4203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  <w:t>玻璃</w:t>
      </w:r>
      <w:r>
        <w:rPr>
          <w:rFonts w:ascii="Times New Roman" w:hAnsi="Times New Roman" w:cs="Times New Roman"/>
          <w:b/>
          <w:bCs/>
          <w:sz w:val="24"/>
          <w:szCs w:val="24"/>
        </w:rPr>
        <w:t>三氧化二硼测定法</w:t>
      </w:r>
    </w:p>
    <w:p>
      <w:pPr>
        <w:pStyle w:val="6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三氧化二硼是硼硅类药用玻璃的主要成分之一，其含量可用于玻璃材料的鉴别与分类。</w:t>
      </w:r>
    </w:p>
    <w:p>
      <w:pPr>
        <w:pStyle w:val="6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本法适用于硼硅类药用玻璃三氧化二硼含量的测定。</w:t>
      </w:r>
    </w:p>
    <w:p>
      <w:pPr>
        <w:pStyle w:val="6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测定原理  </w:t>
      </w:r>
      <w:r>
        <w:rPr>
          <w:rFonts w:ascii="Times New Roman" w:hAnsi="Times New Roman" w:cs="Times New Roman"/>
          <w:bCs/>
          <w:color w:val="0070C0"/>
          <w:sz w:val="24"/>
          <w:szCs w:val="24"/>
          <w:u w:val="single"/>
        </w:rPr>
        <w:t>将玻璃粉碎研磨至粉末</w:t>
      </w:r>
      <w:r>
        <w:rPr>
          <w:rFonts w:ascii="Times New Roman" w:hAnsi="Times New Roman" w:cs="Times New Roman"/>
          <w:sz w:val="24"/>
          <w:szCs w:val="24"/>
        </w:rPr>
        <w:t>，经碱熔融和酸反应后，再用碳酸钙使硼形成易溶于水的硼酸钙，并与其他元素分离；加入甘露醇使硼酸定量地转变为醇硼酸，用氢氧化钠滴定醇硼酸，根据消耗氢氧化钠滴定液的浓度和体积，计算玻璃样品中所含的三氧化二硼的量。</w:t>
      </w:r>
    </w:p>
    <w:p>
      <w:pPr>
        <w:pStyle w:val="6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70C0"/>
          <w:sz w:val="24"/>
          <w:szCs w:val="24"/>
          <w:u w:val="single"/>
        </w:rPr>
        <w:t>供试品的制备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trike/>
          <w:color w:val="FF0000"/>
          <w:sz w:val="24"/>
          <w:szCs w:val="24"/>
        </w:rPr>
        <w:t>取供试品（取不带印字部位；若有污染，清洗干净），粉碎，研磨至细粉</w:t>
      </w:r>
      <w:r>
        <w:rPr>
          <w:rFonts w:ascii="Times New Roman" w:hAnsi="Times New Roman" w:cs="Times New Roman"/>
          <w:bCs/>
          <w:color w:val="0070C0"/>
          <w:sz w:val="24"/>
          <w:szCs w:val="24"/>
          <w:u w:val="single"/>
        </w:rPr>
        <w:t>取清洗干净的样品适量，将不带印字部位粉碎后研磨至细粉</w:t>
      </w:r>
      <w:r>
        <w:rPr>
          <w:rFonts w:ascii="Times New Roman" w:hAnsi="Times New Roman" w:cs="Times New Roman"/>
          <w:sz w:val="24"/>
          <w:szCs w:val="24"/>
        </w:rPr>
        <w:t>(颗粒度应小于100 μm)，于105～110</w:t>
      </w:r>
      <w:r>
        <w:rPr>
          <w:rFonts w:hint="eastAsia" w:hAnsi="宋体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>烘干</w:t>
      </w:r>
      <w:r>
        <w:rPr>
          <w:rFonts w:hint="eastAsia" w:ascii="Times New Roman" w:hAnsi="Times New Roman" w:cs="Times New Roman"/>
          <w:sz w:val="24"/>
          <w:szCs w:val="24"/>
        </w:rPr>
        <w:t>至少</w:t>
      </w:r>
      <w:r>
        <w:rPr>
          <w:rFonts w:ascii="Times New Roman" w:hAnsi="Times New Roman" w:cs="Times New Roman"/>
          <w:sz w:val="24"/>
          <w:szCs w:val="24"/>
        </w:rPr>
        <w:t>1小时，置干燥器中冷却1小时</w:t>
      </w:r>
      <w:r>
        <w:rPr>
          <w:rFonts w:ascii="Times New Roman" w:hAnsi="Times New Roman" w:cs="Times New Roman"/>
          <w:bCs/>
          <w:color w:val="0070C0"/>
          <w:sz w:val="24"/>
          <w:szCs w:val="24"/>
          <w:u w:val="single"/>
        </w:rPr>
        <w:t>或以上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bCs/>
          <w:color w:val="0070C0"/>
          <w:sz w:val="24"/>
          <w:szCs w:val="24"/>
          <w:u w:val="single"/>
        </w:rPr>
        <w:t>备用</w:t>
      </w:r>
      <w:r>
        <w:rPr>
          <w:rFonts w:ascii="Times New Roman" w:hAnsi="Times New Roman" w:cs="Times New Roman"/>
          <w:sz w:val="24"/>
          <w:szCs w:val="24"/>
        </w:rPr>
        <w:t>。</w:t>
      </w:r>
      <w:r>
        <w:rPr>
          <w:rFonts w:ascii="Times New Roman" w:hAnsi="Times New Roman" w:cs="Times New Roman"/>
          <w:bCs/>
          <w:color w:val="0070C0"/>
          <w:sz w:val="24"/>
          <w:szCs w:val="24"/>
          <w:u w:val="single"/>
        </w:rPr>
        <w:t>制备的样品超过24小时需要重新烘干。</w:t>
      </w:r>
    </w:p>
    <w:p>
      <w:pPr>
        <w:pStyle w:val="6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测定法 取</w:t>
      </w:r>
      <w:r>
        <w:rPr>
          <w:rFonts w:ascii="Times New Roman" w:hAnsi="Times New Roman" w:cs="Times New Roman"/>
          <w:bCs/>
          <w:color w:val="0070C0"/>
          <w:sz w:val="24"/>
          <w:szCs w:val="24"/>
          <w:u w:val="single"/>
        </w:rPr>
        <w:t>上述玻璃</w:t>
      </w:r>
      <w:r>
        <w:rPr>
          <w:rFonts w:ascii="Times New Roman" w:hAnsi="Times New Roman" w:cs="Times New Roman"/>
          <w:sz w:val="24"/>
          <w:szCs w:val="24"/>
        </w:rPr>
        <w:t>细粉样品约0.5g，精密称定，置铂坩埚中，加入无水碳酸钠4g，</w:t>
      </w:r>
      <w:r>
        <w:rPr>
          <w:rFonts w:ascii="Times New Roman" w:hAnsi="Times New Roman" w:cs="Times New Roman"/>
          <w:bCs/>
          <w:color w:val="0070C0"/>
          <w:sz w:val="24"/>
          <w:szCs w:val="24"/>
          <w:u w:val="single"/>
        </w:rPr>
        <w:t>缓慢旋转坩埚，使样品与无水碳酸钠充分混合</w:t>
      </w:r>
      <w:r>
        <w:rPr>
          <w:rFonts w:ascii="Times New Roman" w:hAnsi="Times New Roman" w:cs="Times New Roman"/>
          <w:sz w:val="24"/>
          <w:szCs w:val="24"/>
        </w:rPr>
        <w:t>，盖上坩埚盖，</w:t>
      </w:r>
      <w:r>
        <w:rPr>
          <w:rFonts w:ascii="Times New Roman" w:hAnsi="Times New Roman" w:cs="Times New Roman"/>
          <w:bCs/>
          <w:color w:val="0070C0"/>
          <w:sz w:val="24"/>
          <w:szCs w:val="24"/>
          <w:u w:val="single"/>
        </w:rPr>
        <w:t>使用火焰喷灯5～15分钟熔融或</w:t>
      </w:r>
      <w:r>
        <w:rPr>
          <w:rFonts w:ascii="Times New Roman" w:hAnsi="Times New Roman" w:cs="Times New Roman"/>
          <w:sz w:val="24"/>
          <w:szCs w:val="24"/>
        </w:rPr>
        <w:t>在850～900</w:t>
      </w:r>
      <w:r>
        <w:rPr>
          <w:rFonts w:hint="eastAsia" w:hAnsi="宋体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>约</w:t>
      </w:r>
      <w:r>
        <w:rPr>
          <w:rFonts w:ascii="Times New Roman" w:hAnsi="Times New Roman" w:cs="Times New Roman"/>
          <w:bCs/>
          <w:color w:val="0070C0"/>
          <w:sz w:val="24"/>
          <w:szCs w:val="24"/>
          <w:u w:val="single"/>
        </w:rPr>
        <w:t>15～30</w:t>
      </w:r>
      <w:r>
        <w:rPr>
          <w:rFonts w:ascii="Times New Roman" w:hAnsi="Times New Roman" w:cs="Times New Roman"/>
          <w:strike/>
          <w:color w:val="FF0000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分钟熔融；</w:t>
      </w:r>
      <w:r>
        <w:rPr>
          <w:rFonts w:ascii="Times New Roman" w:hAnsi="Times New Roman" w:cs="Times New Roman"/>
          <w:strike/>
          <w:color w:val="FF0000"/>
          <w:sz w:val="24"/>
          <w:szCs w:val="24"/>
        </w:rPr>
        <w:t>（或置于镍坩埚中，加入氢氧化钠4 g，盖上坩埚盖，置电炉上加热，待熔化后，摇动坩埚，再熔融约20分钟。旋转坩埚，使熔融物均匀地附着于坩埚内壁）</w:t>
      </w:r>
      <w:r>
        <w:rPr>
          <w:rFonts w:ascii="Times New Roman" w:hAnsi="Times New Roman" w:cs="Times New Roman"/>
          <w:sz w:val="24"/>
          <w:szCs w:val="24"/>
        </w:rPr>
        <w:t>或在镍坩埚</w:t>
      </w:r>
      <w:r>
        <w:rPr>
          <w:rFonts w:ascii="Times New Roman" w:hAnsi="Times New Roman" w:cs="Times New Roman"/>
          <w:bCs/>
          <w:color w:val="0070C0"/>
          <w:sz w:val="24"/>
          <w:szCs w:val="24"/>
          <w:u w:val="single"/>
        </w:rPr>
        <w:t>或银坩埚</w:t>
      </w:r>
      <w:r>
        <w:rPr>
          <w:rFonts w:ascii="Times New Roman" w:hAnsi="Times New Roman" w:cs="Times New Roman"/>
          <w:sz w:val="24"/>
          <w:szCs w:val="24"/>
        </w:rPr>
        <w:t>中加入氢氧化钠4g，</w:t>
      </w:r>
      <w:r>
        <w:rPr>
          <w:rFonts w:ascii="Times New Roman" w:hAnsi="Times New Roman" w:cs="Times New Roman"/>
          <w:bCs/>
          <w:color w:val="0070C0"/>
          <w:sz w:val="24"/>
          <w:szCs w:val="24"/>
          <w:u w:val="single"/>
        </w:rPr>
        <w:t>加热至氢氧化钠熔融后冷却，取上述玻璃细粉样品约0.5g，精密称定，置坩埚中盖上坩埚盖，使用火焰喷灯熔融5～15分钟或在400～450</w:t>
      </w:r>
      <w:r>
        <w:rPr>
          <w:rFonts w:hint="eastAsia" w:hAnsi="宋体"/>
          <w:bCs/>
          <w:color w:val="0070C0"/>
          <w:sz w:val="24"/>
          <w:szCs w:val="24"/>
          <w:u w:val="single"/>
        </w:rPr>
        <w:t>℃</w:t>
      </w:r>
      <w:r>
        <w:rPr>
          <w:rFonts w:ascii="Times New Roman" w:hAnsi="Times New Roman" w:cs="Times New Roman"/>
          <w:bCs/>
          <w:color w:val="0070C0"/>
          <w:sz w:val="24"/>
          <w:szCs w:val="24"/>
          <w:u w:val="single"/>
        </w:rPr>
        <w:t>约15～30分钟熔融，</w:t>
      </w:r>
      <w:r>
        <w:rPr>
          <w:rFonts w:ascii="Times New Roman" w:hAnsi="Times New Roman" w:cs="Times New Roman"/>
          <w:sz w:val="24"/>
          <w:szCs w:val="24"/>
        </w:rPr>
        <w:t>放冷（</w:t>
      </w:r>
      <w:r>
        <w:rPr>
          <w:rFonts w:ascii="Times New Roman" w:hAnsi="Times New Roman" w:cs="Times New Roman"/>
          <w:bCs/>
          <w:color w:val="0070C0"/>
          <w:sz w:val="24"/>
          <w:szCs w:val="24"/>
          <w:u w:val="single"/>
        </w:rPr>
        <w:t>注：不同种类的玻璃样品熔化时间稍有不同）</w:t>
      </w:r>
      <w:r>
        <w:rPr>
          <w:rFonts w:ascii="Times New Roman" w:hAnsi="Times New Roman" w:cs="Times New Roman"/>
          <w:sz w:val="24"/>
          <w:szCs w:val="24"/>
        </w:rPr>
        <w:t>。用少量热水浸出熔块并转移至</w:t>
      </w:r>
      <w:r>
        <w:rPr>
          <w:rFonts w:ascii="Times New Roman" w:hAnsi="Times New Roman" w:cs="Times New Roman"/>
          <w:bCs/>
          <w:color w:val="0070C0"/>
          <w:sz w:val="24"/>
          <w:szCs w:val="24"/>
          <w:u w:val="single"/>
        </w:rPr>
        <w:t>高型</w:t>
      </w:r>
      <w:r>
        <w:rPr>
          <w:rFonts w:ascii="Times New Roman" w:hAnsi="Times New Roman" w:cs="Times New Roman"/>
          <w:sz w:val="24"/>
          <w:szCs w:val="24"/>
        </w:rPr>
        <w:t>烧杯中，加</w:t>
      </w:r>
      <w:r>
        <w:rPr>
          <w:rFonts w:ascii="Times New Roman" w:hAnsi="Times New Roman" w:cs="Times New Roman"/>
          <w:bCs/>
          <w:color w:val="0070C0"/>
          <w:sz w:val="24"/>
          <w:szCs w:val="24"/>
          <w:u w:val="single"/>
        </w:rPr>
        <w:t>浓</w:t>
      </w:r>
      <w:r>
        <w:rPr>
          <w:rFonts w:ascii="Times New Roman" w:hAnsi="Times New Roman" w:cs="Times New Roman"/>
          <w:sz w:val="24"/>
          <w:szCs w:val="24"/>
        </w:rPr>
        <w:t>盐酸20 ml分散熔块；再用不超过</w:t>
      </w:r>
      <w:r>
        <w:rPr>
          <w:rFonts w:ascii="Times New Roman" w:hAnsi="Times New Roman" w:cs="Times New Roman"/>
          <w:strike/>
          <w:color w:val="FF0000"/>
          <w:sz w:val="24"/>
          <w:szCs w:val="24"/>
        </w:rPr>
        <w:t>15</w:t>
      </w:r>
      <w:r>
        <w:rPr>
          <w:rFonts w:ascii="Times New Roman" w:hAnsi="Times New Roman" w:cs="Times New Roman"/>
          <w:bCs/>
          <w:color w:val="0070C0"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ml盐酸溶液（1→2）分次清洗坩埚和盖，洗液合并于烧杯中。待熔块完全</w:t>
      </w:r>
      <w:r>
        <w:rPr>
          <w:rFonts w:ascii="Times New Roman" w:hAnsi="Times New Roman" w:cs="Times New Roman"/>
          <w:strike/>
          <w:color w:val="FF0000"/>
          <w:sz w:val="24"/>
          <w:szCs w:val="24"/>
        </w:rPr>
        <w:t>分散</w:t>
      </w:r>
      <w:r>
        <w:rPr>
          <w:rFonts w:ascii="Times New Roman" w:hAnsi="Times New Roman" w:cs="Times New Roman"/>
          <w:bCs/>
          <w:color w:val="0070C0"/>
          <w:sz w:val="24"/>
          <w:szCs w:val="24"/>
          <w:u w:val="single"/>
        </w:rPr>
        <w:t>溶解</w:t>
      </w:r>
      <w:r>
        <w:rPr>
          <w:rFonts w:ascii="Times New Roman" w:hAnsi="Times New Roman" w:cs="Times New Roman"/>
          <w:sz w:val="24"/>
          <w:szCs w:val="24"/>
        </w:rPr>
        <w:t>后用碳酸钙中和剩余的酸，并加入过量碳酸钙</w:t>
      </w:r>
      <w:r>
        <w:rPr>
          <w:rFonts w:ascii="Times New Roman" w:hAnsi="Times New Roman" w:cs="Times New Roman"/>
          <w:bCs/>
          <w:color w:val="0070C0"/>
          <w:sz w:val="24"/>
          <w:szCs w:val="24"/>
          <w:u w:val="single"/>
        </w:rPr>
        <w:t>约</w:t>
      </w:r>
      <w:r>
        <w:rPr>
          <w:rFonts w:ascii="Times New Roman" w:hAnsi="Times New Roman" w:cs="Times New Roman"/>
          <w:sz w:val="24"/>
          <w:szCs w:val="24"/>
        </w:rPr>
        <w:t>4g，将烧杯放在水浴中蒸煮约30分钟后，趁热用快速滤纸过滤，用热水分次洗涤烧杯及沉淀，</w:t>
      </w:r>
      <w:r>
        <w:rPr>
          <w:rFonts w:ascii="Times New Roman" w:hAnsi="Times New Roman" w:cs="Times New Roman"/>
          <w:strike/>
          <w:color w:val="FF0000"/>
          <w:sz w:val="24"/>
          <w:szCs w:val="24"/>
        </w:rPr>
        <w:t>总量不超过150 ml，</w:t>
      </w:r>
      <w:r>
        <w:rPr>
          <w:rFonts w:ascii="Times New Roman" w:hAnsi="Times New Roman" w:cs="Times New Roman"/>
          <w:sz w:val="24"/>
          <w:szCs w:val="24"/>
        </w:rPr>
        <w:t>滤液中加乙二胺四乙酸二钠</w:t>
      </w:r>
      <w:r>
        <w:rPr>
          <w:rFonts w:hint="eastAsia" w:ascii="Times New Roman" w:hAnsi="Times New Roman" w:cs="Times New Roman"/>
          <w:strike/>
          <w:color w:val="FF0000"/>
          <w:sz w:val="24"/>
          <w:szCs w:val="24"/>
        </w:rPr>
        <w:t>约1 g</w:t>
      </w:r>
      <w:r>
        <w:rPr>
          <w:rFonts w:ascii="Times New Roman" w:hAnsi="Times New Roman" w:cs="Times New Roman"/>
          <w:bCs/>
          <w:color w:val="0070C0"/>
          <w:sz w:val="24"/>
          <w:szCs w:val="24"/>
          <w:u w:val="single"/>
        </w:rPr>
        <w:t>少许（约0.3～0.5</w:t>
      </w:r>
      <w:r>
        <w:rPr>
          <w:rFonts w:hint="eastAsia" w:ascii="Times New Roman" w:hAnsi="Times New Roman" w:cs="Times New Roman"/>
          <w:bCs/>
          <w:color w:val="0070C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Cs/>
          <w:color w:val="0070C0"/>
          <w:sz w:val="24"/>
          <w:szCs w:val="24"/>
          <w:u w:val="single"/>
        </w:rPr>
        <w:t>g）</w:t>
      </w:r>
      <w:r>
        <w:rPr>
          <w:rFonts w:ascii="Times New Roman" w:hAnsi="Times New Roman" w:cs="Times New Roman"/>
          <w:sz w:val="24"/>
          <w:szCs w:val="24"/>
        </w:rPr>
        <w:t>，煮沸</w:t>
      </w:r>
      <w:r>
        <w:rPr>
          <w:rFonts w:hint="eastAsia" w:ascii="Times New Roman" w:hAnsi="Times New Roman" w:cs="Times New Roman"/>
          <w:strike/>
          <w:color w:val="C00000"/>
          <w:sz w:val="24"/>
          <w:szCs w:val="24"/>
        </w:rPr>
        <w:t>，</w:t>
      </w:r>
      <w:r>
        <w:rPr>
          <w:rFonts w:ascii="Times New Roman" w:hAnsi="Times New Roman" w:cs="Times New Roman"/>
          <w:bCs/>
          <w:color w:val="0070C0"/>
          <w:sz w:val="24"/>
          <w:szCs w:val="24"/>
          <w:u w:val="single"/>
        </w:rPr>
        <w:t>。</w:t>
      </w:r>
      <w:r>
        <w:rPr>
          <w:rFonts w:ascii="Times New Roman" w:hAnsi="Times New Roman" w:cs="Times New Roman"/>
          <w:sz w:val="24"/>
          <w:szCs w:val="24"/>
        </w:rPr>
        <w:t>取下冷却至室温，加</w:t>
      </w:r>
      <w:r>
        <w:rPr>
          <w:rFonts w:hint="eastAsia" w:ascii="Times New Roman" w:hAnsi="Times New Roman" w:cs="Times New Roman"/>
          <w:strike/>
          <w:color w:val="FF0000"/>
          <w:sz w:val="24"/>
          <w:szCs w:val="24"/>
        </w:rPr>
        <w:t>0.2%</w:t>
      </w:r>
      <w:r>
        <w:rPr>
          <w:rFonts w:ascii="Times New Roman" w:hAnsi="Times New Roman" w:cs="Times New Roman"/>
          <w:bCs/>
          <w:color w:val="0070C0"/>
          <w:sz w:val="24"/>
          <w:szCs w:val="24"/>
          <w:u w:val="single"/>
        </w:rPr>
        <w:t>0.1%</w:t>
      </w:r>
      <w:r>
        <w:rPr>
          <w:rFonts w:ascii="Times New Roman" w:hAnsi="Times New Roman" w:cs="Times New Roman"/>
          <w:sz w:val="24"/>
          <w:szCs w:val="24"/>
        </w:rPr>
        <w:t>甲基红乙醇溶液2滴，用0.l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mol/L氢氧化钠溶液和0.1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mol/L盐酸溶液将溶液调成中性（呈亮黄色），加0.1%酚酞乙醇指示剂l ml和甘露醇2~3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g，用氢氧化钠滴定液（0.l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mol/L）滴定至微红色，再次加入甘露醇约l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g，轻摇，如微红色褪去，再用氢氧化钠滴定液（0.l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mol/L）滴定至微红色，如此反复直至加入甘露醇后微红色不褪为止，读取消耗的</w:t>
      </w:r>
      <w:r>
        <w:rPr>
          <w:rFonts w:hint="eastAsia" w:ascii="Times New Roman" w:hAnsi="Times New Roman" w:cs="Times New Roman"/>
          <w:strike/>
          <w:color w:val="FF0000"/>
          <w:sz w:val="24"/>
          <w:szCs w:val="24"/>
        </w:rPr>
        <w:t>总</w:t>
      </w:r>
      <w:r>
        <w:rPr>
          <w:rFonts w:ascii="Times New Roman" w:hAnsi="Times New Roman" w:cs="Times New Roman"/>
          <w:bCs/>
          <w:color w:val="0070C0"/>
          <w:sz w:val="24"/>
          <w:szCs w:val="24"/>
          <w:u w:val="single"/>
        </w:rPr>
        <w:t>氢氧化钠滴定液（0.l mol/L）</w:t>
      </w:r>
      <w:r>
        <w:rPr>
          <w:rFonts w:ascii="Times New Roman" w:hAnsi="Times New Roman" w:cs="Times New Roman"/>
          <w:sz w:val="24"/>
          <w:szCs w:val="24"/>
        </w:rPr>
        <w:t>体积数。取相同材质坩埚同法进行空白试验，并将滴定的结果进行空白校正。每1 ml氢氧化钠滴定液（0.l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mol/L）相当于3.481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mg的B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Cs/>
          <w:color w:val="0070C0"/>
          <w:sz w:val="24"/>
          <w:szCs w:val="24"/>
          <w:u w:val="single"/>
        </w:rPr>
        <w:t>，测定结果应保留两位小数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pStyle w:val="6"/>
        <w:suppressLineNumbers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121285</wp:posOffset>
                </wp:positionV>
                <wp:extent cx="5234940" cy="15240"/>
                <wp:effectExtent l="9525" t="6985" r="13335" b="6350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494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o:spt="32" type="#_x0000_t32" style="position:absolute;left:0pt;margin-left:-5.25pt;margin-top:9.55pt;height:1.2pt;width:412.2pt;z-index:251659264;mso-width-relative:page;mso-height-relative:page;" filled="f" stroked="t" coordsize="21600,21600" o:gfxdata="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7FxKGdcAAAAJAQAADwAAAAAAAAAB&#10;ACAAAAAiAAAAZHJzL2Rvd25yZXYueG1sUEsBAhQAFAAAAAgAh07iQJpOQdrYAQAAtg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pStyle w:val="6"/>
        <w:suppressLineNumbers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起草单位</w:t>
      </w:r>
      <w:r>
        <w:rPr>
          <w:rFonts w:hAnsi="宋体"/>
          <w:sz w:val="24"/>
          <w:szCs w:val="24"/>
        </w:rPr>
        <w:t>：</w:t>
      </w:r>
      <w:r>
        <w:rPr>
          <w:rFonts w:hint="eastAsia" w:hAnsi="宋体"/>
          <w:sz w:val="24"/>
          <w:szCs w:val="24"/>
        </w:rPr>
        <w:t>中国食品药品检定研究院       联系电话</w:t>
      </w:r>
      <w:r>
        <w:rPr>
          <w:rFonts w:hAnsi="宋体"/>
          <w:sz w:val="24"/>
          <w:szCs w:val="24"/>
        </w:rPr>
        <w:t>：</w:t>
      </w:r>
      <w:r>
        <w:rPr>
          <w:rFonts w:hint="eastAsia" w:hAnsi="宋体"/>
          <w:sz w:val="24"/>
          <w:szCs w:val="24"/>
        </w:rPr>
        <w:t>010-67095110</w:t>
      </w:r>
    </w:p>
    <w:p>
      <w:pPr>
        <w:pStyle w:val="6"/>
        <w:suppressLineNumbers/>
        <w:spacing w:line="360" w:lineRule="auto"/>
        <w:rPr>
          <w:rFonts w:hint="eastAsia" w:hAnsi="宋体"/>
          <w:sz w:val="24"/>
          <w:szCs w:val="24"/>
        </w:rPr>
      </w:pPr>
    </w:p>
    <w:p>
      <w:pPr>
        <w:pStyle w:val="6"/>
        <w:suppressLineNumbers/>
        <w:spacing w:line="360" w:lineRule="auto"/>
        <w:jc w:val="center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玻璃三氧化二硼测定法起草</w:t>
      </w:r>
      <w:r>
        <w:rPr>
          <w:rFonts w:hAnsi="宋体"/>
          <w:b/>
          <w:sz w:val="24"/>
          <w:szCs w:val="24"/>
        </w:rPr>
        <w:t>说明</w:t>
      </w:r>
    </w:p>
    <w:p>
      <w:pPr>
        <w:pStyle w:val="6"/>
        <w:numPr>
          <w:ilvl w:val="0"/>
          <w:numId w:val="1"/>
        </w:numPr>
        <w:suppressLineNumbers/>
        <w:spacing w:line="360" w:lineRule="auto"/>
        <w:ind w:left="0" w:firstLine="426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制修订</w:t>
      </w:r>
      <w:r>
        <w:rPr>
          <w:rFonts w:hAnsi="宋体"/>
          <w:sz w:val="24"/>
          <w:szCs w:val="24"/>
        </w:rPr>
        <w:t>的</w:t>
      </w:r>
      <w:r>
        <w:rPr>
          <w:rFonts w:hint="eastAsia" w:hAnsi="宋体"/>
          <w:sz w:val="24"/>
          <w:szCs w:val="24"/>
        </w:rPr>
        <w:t>目的</w:t>
      </w:r>
      <w:r>
        <w:rPr>
          <w:rFonts w:hAnsi="宋体"/>
          <w:sz w:val="24"/>
          <w:szCs w:val="24"/>
        </w:rPr>
        <w:t>意义</w:t>
      </w:r>
    </w:p>
    <w:p>
      <w:pPr>
        <w:pStyle w:val="6"/>
        <w:suppressLineNumbers/>
        <w:spacing w:line="360" w:lineRule="auto"/>
        <w:ind w:firstLine="426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完善三氧化二硼测定法中试验细节，为药用玻璃中硼含量测定提供操作性强、标准化高的科学指导。</w:t>
      </w:r>
    </w:p>
    <w:p>
      <w:pPr>
        <w:pStyle w:val="6"/>
        <w:numPr>
          <w:ilvl w:val="0"/>
          <w:numId w:val="1"/>
        </w:numPr>
        <w:suppressLineNumbers/>
        <w:spacing w:line="360" w:lineRule="auto"/>
        <w:ind w:left="0" w:firstLine="426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起草过程</w:t>
      </w:r>
    </w:p>
    <w:p>
      <w:pPr>
        <w:pStyle w:val="6"/>
        <w:suppressLineNumbers/>
        <w:spacing w:line="360" w:lineRule="auto"/>
        <w:ind w:firstLine="426"/>
        <w:jc w:val="lef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对比现有玻璃中三氧化二硼含量测定法标准，联合多个药用玻璃生产厂家和药包材检验检测机构，针对《中国药典》2020年版四部通则4009 三氧化二硼测定法中的操作细节（特别是熔样过程中温度、时间和坩埚选择等），进行了试验，完善了本测定法。</w:t>
      </w:r>
    </w:p>
    <w:p>
      <w:pPr>
        <w:pStyle w:val="6"/>
        <w:numPr>
          <w:ilvl w:val="0"/>
          <w:numId w:val="1"/>
        </w:numPr>
        <w:suppressLineNumbers/>
        <w:spacing w:line="360" w:lineRule="auto"/>
        <w:ind w:left="0" w:firstLine="426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制修订</w:t>
      </w:r>
      <w:r>
        <w:rPr>
          <w:rFonts w:hAnsi="宋体"/>
          <w:sz w:val="24"/>
          <w:szCs w:val="24"/>
        </w:rPr>
        <w:t>的</w:t>
      </w:r>
      <w:r>
        <w:rPr>
          <w:rFonts w:hint="eastAsia" w:hAnsi="宋体"/>
          <w:sz w:val="24"/>
          <w:szCs w:val="24"/>
        </w:rPr>
        <w:t>总体思路</w:t>
      </w:r>
    </w:p>
    <w:p>
      <w:pPr>
        <w:pStyle w:val="6"/>
        <w:suppressLineNumbers/>
        <w:spacing w:line="360" w:lineRule="auto"/>
        <w:ind w:firstLine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遵循药典委对药包材标准体系的架构思路，收集了《中国药典》2020年版四部通则4009 三氧化二硼测定法在日常试验时存在的问题，为增加该检测方法的可操作性，设计试验，以完善本测定法。</w:t>
      </w:r>
    </w:p>
    <w:p>
      <w:pPr>
        <w:pStyle w:val="6"/>
        <w:suppressLineNumbers/>
        <w:spacing w:line="360" w:lineRule="auto"/>
        <w:ind w:left="960"/>
        <w:jc w:val="left"/>
        <w:rPr>
          <w:rFonts w:hAnsi="宋体"/>
          <w:sz w:val="24"/>
          <w:szCs w:val="24"/>
        </w:rPr>
      </w:pP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endnotePr>
        <w:numFmt w:val="decimal"/>
      </w:endnotePr>
      <w:pgSz w:w="12240" w:h="15840"/>
      <w:pgMar w:top="1134" w:right="2552" w:bottom="1134" w:left="1701" w:header="720" w:footer="720" w:gutter="0"/>
      <w:lnNumType w:countBy="1" w:restart="continuous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rFonts w:cs="Times New Roman"/>
      </w:rPr>
    </w:pPr>
    <w:r>
      <w:rPr>
        <w:rFonts w:ascii="华文仿宋" w:hAnsi="华文仿宋" w:eastAsia="华文仿宋" w:cs="华文仿宋"/>
        <w:sz w:val="21"/>
        <w:szCs w:val="21"/>
      </w:rPr>
      <w:fldChar w:fldCharType="begin"/>
    </w:r>
    <w:r>
      <w:rPr>
        <w:rFonts w:ascii="华文仿宋" w:hAnsi="华文仿宋" w:eastAsia="华文仿宋" w:cs="华文仿宋"/>
        <w:sz w:val="21"/>
        <w:szCs w:val="21"/>
      </w:rPr>
      <w:instrText xml:space="preserve"> PAGE   \* MERGEFORMAT </w:instrText>
    </w:r>
    <w:r>
      <w:rPr>
        <w:rFonts w:ascii="华文仿宋" w:hAnsi="华文仿宋" w:eastAsia="华文仿宋" w:cs="华文仿宋"/>
        <w:sz w:val="21"/>
        <w:szCs w:val="21"/>
      </w:rPr>
      <w:fldChar w:fldCharType="separate"/>
    </w:r>
    <w:r>
      <w:rPr>
        <w:rFonts w:ascii="华文仿宋" w:hAnsi="华文仿宋" w:eastAsia="华文仿宋" w:cs="华文仿宋"/>
        <w:sz w:val="21"/>
        <w:szCs w:val="21"/>
        <w:lang w:val="zh-CN"/>
      </w:rPr>
      <w:t>2</w:t>
    </w:r>
    <w:r>
      <w:rPr>
        <w:rFonts w:ascii="华文仿宋" w:hAnsi="华文仿宋" w:eastAsia="华文仿宋" w:cs="华文仿宋"/>
        <w:sz w:val="21"/>
        <w:szCs w:val="21"/>
      </w:rPr>
      <w:fldChar w:fldCharType="end"/>
    </w:r>
  </w:p>
  <w:p>
    <w:pPr>
      <w:pStyle w:val="9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center" w:pos="3993"/>
        <w:tab w:val="right" w:pos="7987"/>
        <w:tab w:val="clear" w:pos="4153"/>
        <w:tab w:val="clear" w:pos="8306"/>
      </w:tabs>
    </w:pPr>
    <w:r>
      <w:pict>
        <v:shape id="PowerPlusWaterMarkObject3945033" o:spid="_x0000_s2054" o:spt="136" type="#_x0000_t136" style="position:absolute;left:0pt;height:93.8pt;width:469.2pt;mso-position-horizontal:center;mso-position-horizontal-relative:margin;mso-position-vertical:center;mso-position-vertical-relative:margin;rotation:20643840f;z-index:-251654144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征求意见稿" style="font-family:宋体;font-size:1pt;v-text-align:center;"/>
        </v:shape>
      </w:pict>
    </w:r>
    <w:r>
      <w:t xml:space="preserve">                                                                           2022</w:t>
    </w:r>
    <w:r>
      <w:rPr>
        <w:rFonts w:hint="eastAsia"/>
      </w:rPr>
      <w:t>年</w:t>
    </w:r>
    <w:r>
      <w:t>6月</w:t>
    </w:r>
    <w:r>
      <w:rPr>
        <w:rFonts w:hint="eastAsia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pict>
        <v:shape id="PowerPlusWaterMarkObject3945032" o:spid="_x0000_s2053" o:spt="136" type="#_x0000_t136" style="position:absolute;left:0pt;height:93.8pt;width:469.2pt;mso-position-horizontal:center;mso-position-horizontal-relative:margin;mso-position-vertical:center;mso-position-vertical-relative:margin;rotation:20643840f;z-index:-25165516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征求意见稿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pict>
        <v:shape id="PowerPlusWaterMarkObject3945031" o:spid="_x0000_s2052" o:spt="136" type="#_x0000_t136" style="position:absolute;left:0pt;height:93.8pt;width:469.2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征求意见稿" style="font-family:宋体;font-size:1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483860"/>
    <w:multiLevelType w:val="multilevel"/>
    <w:tmpl w:val="2E483860"/>
    <w:lvl w:ilvl="0" w:tentative="0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21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mYmQ4N2ZiNWJhYzY2NGI4ZjAyNjk0YmUwODQ1ZGIifQ=="/>
  </w:docVars>
  <w:rsids>
    <w:rsidRoot w:val="00A4732B"/>
    <w:rsid w:val="00012A9D"/>
    <w:rsid w:val="00015814"/>
    <w:rsid w:val="00021A46"/>
    <w:rsid w:val="0002482F"/>
    <w:rsid w:val="00050ABA"/>
    <w:rsid w:val="0005156E"/>
    <w:rsid w:val="00051B62"/>
    <w:rsid w:val="000601A8"/>
    <w:rsid w:val="0007166D"/>
    <w:rsid w:val="000775AE"/>
    <w:rsid w:val="00084FD5"/>
    <w:rsid w:val="00097240"/>
    <w:rsid w:val="000A3B4E"/>
    <w:rsid w:val="000A4652"/>
    <w:rsid w:val="000B4C1A"/>
    <w:rsid w:val="000B6C95"/>
    <w:rsid w:val="000C5051"/>
    <w:rsid w:val="000F14A5"/>
    <w:rsid w:val="00101F14"/>
    <w:rsid w:val="00112744"/>
    <w:rsid w:val="00125A86"/>
    <w:rsid w:val="00130CCE"/>
    <w:rsid w:val="00132E56"/>
    <w:rsid w:val="001469BE"/>
    <w:rsid w:val="00152252"/>
    <w:rsid w:val="00155B91"/>
    <w:rsid w:val="001577A8"/>
    <w:rsid w:val="001705F3"/>
    <w:rsid w:val="00181905"/>
    <w:rsid w:val="00182D0C"/>
    <w:rsid w:val="00193EAF"/>
    <w:rsid w:val="001A5EBE"/>
    <w:rsid w:val="001B2A81"/>
    <w:rsid w:val="001B4C3E"/>
    <w:rsid w:val="001C3B74"/>
    <w:rsid w:val="001D5B59"/>
    <w:rsid w:val="001E36B7"/>
    <w:rsid w:val="001E43CF"/>
    <w:rsid w:val="001F2CAA"/>
    <w:rsid w:val="001F4571"/>
    <w:rsid w:val="001F5BCF"/>
    <w:rsid w:val="00206B5E"/>
    <w:rsid w:val="00206DCF"/>
    <w:rsid w:val="00211684"/>
    <w:rsid w:val="00222754"/>
    <w:rsid w:val="00242D6A"/>
    <w:rsid w:val="00245C5C"/>
    <w:rsid w:val="00245D42"/>
    <w:rsid w:val="00255443"/>
    <w:rsid w:val="00255EFE"/>
    <w:rsid w:val="00266913"/>
    <w:rsid w:val="00271C40"/>
    <w:rsid w:val="002744AB"/>
    <w:rsid w:val="00276022"/>
    <w:rsid w:val="00285E24"/>
    <w:rsid w:val="002A0DD8"/>
    <w:rsid w:val="002A5F4B"/>
    <w:rsid w:val="002B7535"/>
    <w:rsid w:val="002C465B"/>
    <w:rsid w:val="002D06AF"/>
    <w:rsid w:val="002D5037"/>
    <w:rsid w:val="002D76DF"/>
    <w:rsid w:val="0030548B"/>
    <w:rsid w:val="00307D05"/>
    <w:rsid w:val="00315205"/>
    <w:rsid w:val="00317372"/>
    <w:rsid w:val="0033758F"/>
    <w:rsid w:val="00344C01"/>
    <w:rsid w:val="003522DE"/>
    <w:rsid w:val="00354461"/>
    <w:rsid w:val="00356A05"/>
    <w:rsid w:val="00364BAA"/>
    <w:rsid w:val="003864D2"/>
    <w:rsid w:val="00393FCE"/>
    <w:rsid w:val="00397392"/>
    <w:rsid w:val="003A2D82"/>
    <w:rsid w:val="003A38F6"/>
    <w:rsid w:val="003B63C3"/>
    <w:rsid w:val="003C6ADB"/>
    <w:rsid w:val="003D1C1D"/>
    <w:rsid w:val="003D284D"/>
    <w:rsid w:val="003D3B73"/>
    <w:rsid w:val="003E055C"/>
    <w:rsid w:val="003E406F"/>
    <w:rsid w:val="003E52D6"/>
    <w:rsid w:val="003F1A18"/>
    <w:rsid w:val="003F46E1"/>
    <w:rsid w:val="00403FD5"/>
    <w:rsid w:val="00405357"/>
    <w:rsid w:val="00421238"/>
    <w:rsid w:val="0043287B"/>
    <w:rsid w:val="004354AB"/>
    <w:rsid w:val="00443A40"/>
    <w:rsid w:val="004456E7"/>
    <w:rsid w:val="00447DD1"/>
    <w:rsid w:val="00453861"/>
    <w:rsid w:val="004542D8"/>
    <w:rsid w:val="00466DA0"/>
    <w:rsid w:val="00494805"/>
    <w:rsid w:val="00496E00"/>
    <w:rsid w:val="004A39CC"/>
    <w:rsid w:val="004B4A9B"/>
    <w:rsid w:val="004C3C06"/>
    <w:rsid w:val="004D1836"/>
    <w:rsid w:val="004E3EA1"/>
    <w:rsid w:val="004E4D21"/>
    <w:rsid w:val="004E6F87"/>
    <w:rsid w:val="004E748E"/>
    <w:rsid w:val="004F53C9"/>
    <w:rsid w:val="00507976"/>
    <w:rsid w:val="00527BD2"/>
    <w:rsid w:val="00531461"/>
    <w:rsid w:val="0053211E"/>
    <w:rsid w:val="00536D43"/>
    <w:rsid w:val="00547E3C"/>
    <w:rsid w:val="0055110A"/>
    <w:rsid w:val="00570AF7"/>
    <w:rsid w:val="00577C18"/>
    <w:rsid w:val="0058652D"/>
    <w:rsid w:val="00594421"/>
    <w:rsid w:val="005A2F34"/>
    <w:rsid w:val="005A4D18"/>
    <w:rsid w:val="005A76B2"/>
    <w:rsid w:val="005B26EA"/>
    <w:rsid w:val="005C2792"/>
    <w:rsid w:val="005C4A22"/>
    <w:rsid w:val="005D39B6"/>
    <w:rsid w:val="005E3367"/>
    <w:rsid w:val="005E3D7C"/>
    <w:rsid w:val="00616C23"/>
    <w:rsid w:val="00617897"/>
    <w:rsid w:val="00621A38"/>
    <w:rsid w:val="00623DB8"/>
    <w:rsid w:val="00634E3E"/>
    <w:rsid w:val="00640BAD"/>
    <w:rsid w:val="00642E64"/>
    <w:rsid w:val="006503FB"/>
    <w:rsid w:val="00655DB5"/>
    <w:rsid w:val="006576EF"/>
    <w:rsid w:val="0066507A"/>
    <w:rsid w:val="00666690"/>
    <w:rsid w:val="00667EBE"/>
    <w:rsid w:val="00676338"/>
    <w:rsid w:val="006816C9"/>
    <w:rsid w:val="00683A01"/>
    <w:rsid w:val="00683B17"/>
    <w:rsid w:val="0068490A"/>
    <w:rsid w:val="00685D74"/>
    <w:rsid w:val="00690780"/>
    <w:rsid w:val="006A1FAE"/>
    <w:rsid w:val="006A6131"/>
    <w:rsid w:val="006B1F94"/>
    <w:rsid w:val="006C5A18"/>
    <w:rsid w:val="006C64C9"/>
    <w:rsid w:val="006D476F"/>
    <w:rsid w:val="006E04E0"/>
    <w:rsid w:val="006E3EBE"/>
    <w:rsid w:val="006E68AE"/>
    <w:rsid w:val="00711418"/>
    <w:rsid w:val="00713D8C"/>
    <w:rsid w:val="00716C7B"/>
    <w:rsid w:val="00724E58"/>
    <w:rsid w:val="00753E58"/>
    <w:rsid w:val="00756FD6"/>
    <w:rsid w:val="007646F4"/>
    <w:rsid w:val="00764A64"/>
    <w:rsid w:val="00772194"/>
    <w:rsid w:val="00780F1B"/>
    <w:rsid w:val="00795603"/>
    <w:rsid w:val="007973B4"/>
    <w:rsid w:val="007A03EA"/>
    <w:rsid w:val="007A198F"/>
    <w:rsid w:val="007C1156"/>
    <w:rsid w:val="007C4612"/>
    <w:rsid w:val="007D10CC"/>
    <w:rsid w:val="007E10AB"/>
    <w:rsid w:val="007F7A8B"/>
    <w:rsid w:val="00800C4E"/>
    <w:rsid w:val="00814C8C"/>
    <w:rsid w:val="008166AD"/>
    <w:rsid w:val="00817D45"/>
    <w:rsid w:val="00817FD3"/>
    <w:rsid w:val="008271D8"/>
    <w:rsid w:val="00832827"/>
    <w:rsid w:val="00847034"/>
    <w:rsid w:val="00847D17"/>
    <w:rsid w:val="00877A0B"/>
    <w:rsid w:val="00885B5E"/>
    <w:rsid w:val="008918FF"/>
    <w:rsid w:val="008A39AC"/>
    <w:rsid w:val="008B430F"/>
    <w:rsid w:val="008C214D"/>
    <w:rsid w:val="008D136A"/>
    <w:rsid w:val="00913A37"/>
    <w:rsid w:val="00914822"/>
    <w:rsid w:val="00915B6F"/>
    <w:rsid w:val="00923FDC"/>
    <w:rsid w:val="00926647"/>
    <w:rsid w:val="00935FAA"/>
    <w:rsid w:val="00953410"/>
    <w:rsid w:val="00957182"/>
    <w:rsid w:val="00957C42"/>
    <w:rsid w:val="009726F4"/>
    <w:rsid w:val="009728AA"/>
    <w:rsid w:val="009835A8"/>
    <w:rsid w:val="00984988"/>
    <w:rsid w:val="00985B2F"/>
    <w:rsid w:val="00990BAA"/>
    <w:rsid w:val="00995DCE"/>
    <w:rsid w:val="009975F3"/>
    <w:rsid w:val="009B43DF"/>
    <w:rsid w:val="009C7881"/>
    <w:rsid w:val="009D0A22"/>
    <w:rsid w:val="009E170D"/>
    <w:rsid w:val="009E5154"/>
    <w:rsid w:val="009E7092"/>
    <w:rsid w:val="009E7344"/>
    <w:rsid w:val="00A05B38"/>
    <w:rsid w:val="00A06A51"/>
    <w:rsid w:val="00A16B00"/>
    <w:rsid w:val="00A24C40"/>
    <w:rsid w:val="00A3310A"/>
    <w:rsid w:val="00A3442E"/>
    <w:rsid w:val="00A4732B"/>
    <w:rsid w:val="00A503AE"/>
    <w:rsid w:val="00A62A0B"/>
    <w:rsid w:val="00A758FA"/>
    <w:rsid w:val="00A81A8D"/>
    <w:rsid w:val="00A8508C"/>
    <w:rsid w:val="00A94A14"/>
    <w:rsid w:val="00AA6575"/>
    <w:rsid w:val="00AB00A4"/>
    <w:rsid w:val="00AC60B7"/>
    <w:rsid w:val="00AE4B2E"/>
    <w:rsid w:val="00AE4D72"/>
    <w:rsid w:val="00AF14FA"/>
    <w:rsid w:val="00AF4728"/>
    <w:rsid w:val="00B04439"/>
    <w:rsid w:val="00B102D2"/>
    <w:rsid w:val="00B24CB7"/>
    <w:rsid w:val="00B31F2D"/>
    <w:rsid w:val="00B415A7"/>
    <w:rsid w:val="00B47738"/>
    <w:rsid w:val="00B50E2F"/>
    <w:rsid w:val="00B5195E"/>
    <w:rsid w:val="00B55F90"/>
    <w:rsid w:val="00B61F5B"/>
    <w:rsid w:val="00B62F4E"/>
    <w:rsid w:val="00B942E1"/>
    <w:rsid w:val="00B94B78"/>
    <w:rsid w:val="00B97192"/>
    <w:rsid w:val="00BA7B81"/>
    <w:rsid w:val="00BB3F7E"/>
    <w:rsid w:val="00BB48EF"/>
    <w:rsid w:val="00BC6E19"/>
    <w:rsid w:val="00BD42DF"/>
    <w:rsid w:val="00BD7EBD"/>
    <w:rsid w:val="00BE0BA8"/>
    <w:rsid w:val="00BE3F76"/>
    <w:rsid w:val="00BE6B69"/>
    <w:rsid w:val="00BF772E"/>
    <w:rsid w:val="00C0359B"/>
    <w:rsid w:val="00C12CCE"/>
    <w:rsid w:val="00C21170"/>
    <w:rsid w:val="00C21CE3"/>
    <w:rsid w:val="00C25AFF"/>
    <w:rsid w:val="00C266AC"/>
    <w:rsid w:val="00C350F2"/>
    <w:rsid w:val="00C4017E"/>
    <w:rsid w:val="00C51000"/>
    <w:rsid w:val="00C579BA"/>
    <w:rsid w:val="00C71E9D"/>
    <w:rsid w:val="00C806D0"/>
    <w:rsid w:val="00C8153B"/>
    <w:rsid w:val="00C8561E"/>
    <w:rsid w:val="00C905A3"/>
    <w:rsid w:val="00C91A9E"/>
    <w:rsid w:val="00C91EA5"/>
    <w:rsid w:val="00C932E3"/>
    <w:rsid w:val="00CA6D90"/>
    <w:rsid w:val="00CB3869"/>
    <w:rsid w:val="00CC0E81"/>
    <w:rsid w:val="00CD33A2"/>
    <w:rsid w:val="00CE0E95"/>
    <w:rsid w:val="00CE4E23"/>
    <w:rsid w:val="00CF026C"/>
    <w:rsid w:val="00CF479C"/>
    <w:rsid w:val="00D04E8A"/>
    <w:rsid w:val="00D12793"/>
    <w:rsid w:val="00D221D1"/>
    <w:rsid w:val="00D257C3"/>
    <w:rsid w:val="00D26525"/>
    <w:rsid w:val="00D30211"/>
    <w:rsid w:val="00D32755"/>
    <w:rsid w:val="00D33D18"/>
    <w:rsid w:val="00D3669B"/>
    <w:rsid w:val="00D42881"/>
    <w:rsid w:val="00D4696C"/>
    <w:rsid w:val="00D6170E"/>
    <w:rsid w:val="00D62862"/>
    <w:rsid w:val="00D81D4B"/>
    <w:rsid w:val="00D84AF0"/>
    <w:rsid w:val="00D93AEC"/>
    <w:rsid w:val="00D94CAD"/>
    <w:rsid w:val="00D95CD1"/>
    <w:rsid w:val="00D97F9F"/>
    <w:rsid w:val="00DA0FB8"/>
    <w:rsid w:val="00DC1ECE"/>
    <w:rsid w:val="00DE0063"/>
    <w:rsid w:val="00DE4EB1"/>
    <w:rsid w:val="00DE5DFC"/>
    <w:rsid w:val="00DF6694"/>
    <w:rsid w:val="00E035CC"/>
    <w:rsid w:val="00E16B66"/>
    <w:rsid w:val="00E31BF5"/>
    <w:rsid w:val="00E3643B"/>
    <w:rsid w:val="00E45298"/>
    <w:rsid w:val="00E45BB7"/>
    <w:rsid w:val="00E46334"/>
    <w:rsid w:val="00E77286"/>
    <w:rsid w:val="00E83CFD"/>
    <w:rsid w:val="00E864E2"/>
    <w:rsid w:val="00EA4909"/>
    <w:rsid w:val="00EA590A"/>
    <w:rsid w:val="00EB4B81"/>
    <w:rsid w:val="00EC290F"/>
    <w:rsid w:val="00EC62CE"/>
    <w:rsid w:val="00ED08B2"/>
    <w:rsid w:val="00ED730B"/>
    <w:rsid w:val="00EE2DBC"/>
    <w:rsid w:val="00EF1C71"/>
    <w:rsid w:val="00EF36A5"/>
    <w:rsid w:val="00EF481A"/>
    <w:rsid w:val="00F06313"/>
    <w:rsid w:val="00F16AEB"/>
    <w:rsid w:val="00F24BA7"/>
    <w:rsid w:val="00F330D6"/>
    <w:rsid w:val="00F33B07"/>
    <w:rsid w:val="00F41812"/>
    <w:rsid w:val="00F45E68"/>
    <w:rsid w:val="00F557CB"/>
    <w:rsid w:val="00F63948"/>
    <w:rsid w:val="00F742A0"/>
    <w:rsid w:val="00F87752"/>
    <w:rsid w:val="00F96010"/>
    <w:rsid w:val="00FA6CD1"/>
    <w:rsid w:val="00FC0659"/>
    <w:rsid w:val="00FC45FE"/>
    <w:rsid w:val="0FDC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qFormat="1" w:uiPriority="99" w:name="line number"/>
    <w:lsdException w:uiPriority="99" w:name="page number"/>
    <w:lsdException w:qFormat="1" w:unhideWhenUsed="0" w:uiPriority="99" w:name="endnote reference"/>
    <w:lsdException w:qFormat="1" w:unhideWhenUsed="0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8"/>
    <w:qFormat/>
    <w:uiPriority w:val="99"/>
    <w:pPr>
      <w:keepNext/>
      <w:keepLines/>
      <w:spacing w:line="360" w:lineRule="auto"/>
      <w:ind w:left="425" w:hanging="425"/>
      <w:outlineLvl w:val="1"/>
    </w:pPr>
    <w:rPr>
      <w:rFonts w:ascii="Calibri Light" w:hAnsi="Calibri Light" w:cs="Calibri Light"/>
      <w:b/>
      <w:bCs/>
      <w:kern w:val="0"/>
      <w:sz w:val="24"/>
      <w:szCs w:val="24"/>
    </w:rPr>
  </w:style>
  <w:style w:type="paragraph" w:styleId="3">
    <w:name w:val="heading 3"/>
    <w:basedOn w:val="1"/>
    <w:next w:val="1"/>
    <w:link w:val="19"/>
    <w:qFormat/>
    <w:uiPriority w:val="99"/>
    <w:pPr>
      <w:keepNext/>
      <w:keepLines/>
      <w:adjustRightInd w:val="0"/>
      <w:snapToGrid w:val="0"/>
      <w:spacing w:line="360" w:lineRule="auto"/>
      <w:ind w:left="425" w:hanging="425"/>
      <w:outlineLvl w:val="2"/>
    </w:pPr>
    <w:rPr>
      <w:rFonts w:ascii="Calibri" w:hAnsi="Calibri" w:cs="Calibri"/>
      <w:b/>
      <w:bCs/>
      <w:kern w:val="0"/>
      <w:sz w:val="24"/>
      <w:szCs w:val="24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3"/>
    <w:semiHidden/>
    <w:qFormat/>
    <w:uiPriority w:val="99"/>
    <w:pPr>
      <w:jc w:val="left"/>
    </w:pPr>
    <w:rPr>
      <w:kern w:val="0"/>
      <w:sz w:val="20"/>
      <w:szCs w:val="20"/>
    </w:rPr>
  </w:style>
  <w:style w:type="paragraph" w:styleId="5">
    <w:name w:val="Body Text"/>
    <w:basedOn w:val="1"/>
    <w:link w:val="28"/>
    <w:semiHidden/>
    <w:qFormat/>
    <w:uiPriority w:val="99"/>
    <w:pPr>
      <w:autoSpaceDE w:val="0"/>
      <w:autoSpaceDN w:val="0"/>
      <w:adjustRightInd w:val="0"/>
      <w:spacing w:line="360" w:lineRule="auto"/>
      <w:ind w:left="425" w:hanging="425"/>
      <w:jc w:val="left"/>
    </w:pPr>
    <w:rPr>
      <w:color w:val="000000"/>
      <w:kern w:val="0"/>
      <w:sz w:val="20"/>
      <w:szCs w:val="20"/>
    </w:rPr>
  </w:style>
  <w:style w:type="paragraph" w:styleId="6">
    <w:name w:val="Plain Text"/>
    <w:basedOn w:val="1"/>
    <w:link w:val="22"/>
    <w:uiPriority w:val="99"/>
    <w:rPr>
      <w:rFonts w:ascii="宋体" w:hAnsi="Courier New" w:cs="宋体"/>
      <w:kern w:val="0"/>
      <w:sz w:val="20"/>
      <w:szCs w:val="20"/>
    </w:rPr>
  </w:style>
  <w:style w:type="paragraph" w:styleId="7">
    <w:name w:val="endnote text"/>
    <w:basedOn w:val="1"/>
    <w:link w:val="27"/>
    <w:semiHidden/>
    <w:qFormat/>
    <w:uiPriority w:val="99"/>
    <w:pPr>
      <w:snapToGrid w:val="0"/>
      <w:spacing w:line="360" w:lineRule="auto"/>
      <w:ind w:left="425" w:hanging="425"/>
      <w:jc w:val="left"/>
    </w:pPr>
    <w:rPr>
      <w:kern w:val="0"/>
      <w:sz w:val="20"/>
      <w:szCs w:val="20"/>
    </w:rPr>
  </w:style>
  <w:style w:type="paragraph" w:styleId="8">
    <w:name w:val="Balloon Text"/>
    <w:basedOn w:val="1"/>
    <w:link w:val="24"/>
    <w:semiHidden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1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</w:rPr>
  </w:style>
  <w:style w:type="paragraph" w:styleId="10">
    <w:name w:val="header"/>
    <w:basedOn w:val="1"/>
    <w:link w:val="2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0"/>
      <w:sz w:val="18"/>
      <w:szCs w:val="18"/>
    </w:rPr>
  </w:style>
  <w:style w:type="paragraph" w:styleId="11">
    <w:name w:val="annotation subject"/>
    <w:basedOn w:val="4"/>
    <w:next w:val="4"/>
    <w:link w:val="25"/>
    <w:semiHidden/>
    <w:qFormat/>
    <w:uiPriority w:val="99"/>
    <w:rPr>
      <w:b/>
      <w:bCs/>
    </w:rPr>
  </w:style>
  <w:style w:type="table" w:styleId="13">
    <w:name w:val="Table Grid"/>
    <w:basedOn w:val="12"/>
    <w:qFormat/>
    <w:uiPriority w:val="99"/>
    <w:pPr>
      <w:spacing w:line="360" w:lineRule="auto"/>
      <w:ind w:left="425" w:hanging="425"/>
      <w:jc w:val="both"/>
    </w:pPr>
    <w:rPr>
      <w:rFonts w:cs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endnote reference"/>
    <w:semiHidden/>
    <w:qFormat/>
    <w:uiPriority w:val="99"/>
    <w:rPr>
      <w:vertAlign w:val="superscript"/>
    </w:rPr>
  </w:style>
  <w:style w:type="character" w:styleId="16">
    <w:name w:val="line number"/>
    <w:basedOn w:val="14"/>
    <w:semiHidden/>
    <w:unhideWhenUsed/>
    <w:qFormat/>
    <w:uiPriority w:val="99"/>
  </w:style>
  <w:style w:type="character" w:styleId="17">
    <w:name w:val="annotation reference"/>
    <w:semiHidden/>
    <w:qFormat/>
    <w:uiPriority w:val="99"/>
    <w:rPr>
      <w:sz w:val="21"/>
      <w:szCs w:val="21"/>
    </w:rPr>
  </w:style>
  <w:style w:type="character" w:customStyle="1" w:styleId="18">
    <w:name w:val="标题 2 字符"/>
    <w:link w:val="2"/>
    <w:semiHidden/>
    <w:qFormat/>
    <w:locked/>
    <w:uiPriority w:val="99"/>
    <w:rPr>
      <w:rFonts w:ascii="Calibri Light" w:hAnsi="Calibri Light" w:eastAsia="宋体" w:cs="Calibri Light"/>
      <w:b/>
      <w:bCs/>
      <w:sz w:val="32"/>
      <w:szCs w:val="32"/>
    </w:rPr>
  </w:style>
  <w:style w:type="character" w:customStyle="1" w:styleId="19">
    <w:name w:val="标题 3 字符"/>
    <w:link w:val="3"/>
    <w:qFormat/>
    <w:locked/>
    <w:uiPriority w:val="99"/>
    <w:rPr>
      <w:b/>
      <w:bCs/>
      <w:sz w:val="32"/>
      <w:szCs w:val="32"/>
    </w:rPr>
  </w:style>
  <w:style w:type="character" w:customStyle="1" w:styleId="20">
    <w:name w:val="页眉 字符"/>
    <w:link w:val="10"/>
    <w:locked/>
    <w:uiPriority w:val="99"/>
    <w:rPr>
      <w:sz w:val="18"/>
      <w:szCs w:val="18"/>
    </w:rPr>
  </w:style>
  <w:style w:type="character" w:customStyle="1" w:styleId="21">
    <w:name w:val="页脚 字符"/>
    <w:link w:val="9"/>
    <w:locked/>
    <w:uiPriority w:val="99"/>
    <w:rPr>
      <w:sz w:val="18"/>
      <w:szCs w:val="18"/>
    </w:rPr>
  </w:style>
  <w:style w:type="character" w:customStyle="1" w:styleId="22">
    <w:name w:val="纯文本 字符"/>
    <w:link w:val="6"/>
    <w:qFormat/>
    <w:locked/>
    <w:uiPriority w:val="99"/>
    <w:rPr>
      <w:rFonts w:ascii="宋体" w:hAnsi="Courier New" w:eastAsia="宋体" w:cs="宋体"/>
      <w:sz w:val="20"/>
      <w:szCs w:val="20"/>
    </w:rPr>
  </w:style>
  <w:style w:type="character" w:customStyle="1" w:styleId="23">
    <w:name w:val="批注文字 字符"/>
    <w:link w:val="4"/>
    <w:locked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24">
    <w:name w:val="批注框文本 字符"/>
    <w:link w:val="8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批注主题 字符"/>
    <w:link w:val="11"/>
    <w:semiHidden/>
    <w:qFormat/>
    <w:locked/>
    <w:uiPriority w:val="99"/>
    <w:rPr>
      <w:rFonts w:ascii="Times New Roman" w:hAnsi="Times New Roman" w:eastAsia="宋体" w:cs="Times New Roman"/>
      <w:b/>
      <w:bCs/>
      <w:sz w:val="20"/>
      <w:szCs w:val="20"/>
    </w:rPr>
  </w:style>
  <w:style w:type="paragraph" w:customStyle="1" w:styleId="26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27">
    <w:name w:val="尾注文本 字符"/>
    <w:link w:val="7"/>
    <w:semiHidden/>
    <w:qFormat/>
    <w:locked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28">
    <w:name w:val="正文文本 字符"/>
    <w:link w:val="5"/>
    <w:semiHidden/>
    <w:qFormat/>
    <w:locked/>
    <w:uiPriority w:val="99"/>
    <w:rPr>
      <w:rFonts w:ascii="Times New Roman" w:hAnsi="Times New Roman" w:eastAsia="宋体" w:cs="Times New Roman"/>
      <w:color w:val="000000"/>
      <w:kern w:val="0"/>
      <w:sz w:val="20"/>
      <w:szCs w:val="20"/>
    </w:rPr>
  </w:style>
  <w:style w:type="paragraph" w:styleId="29">
    <w:name w:val="List Paragraph"/>
    <w:basedOn w:val="1"/>
    <w:qFormat/>
    <w:uiPriority w:val="99"/>
    <w:pPr>
      <w:spacing w:line="360" w:lineRule="auto"/>
      <w:ind w:left="425" w:firstLine="420" w:firstLineChars="200"/>
    </w:pPr>
    <w:rPr>
      <w:rFonts w:ascii="Calibri" w:hAnsi="Calibri" w:cs="Calibri"/>
    </w:rPr>
  </w:style>
  <w:style w:type="paragraph" w:customStyle="1" w:styleId="30">
    <w:name w:val="列出段落1"/>
    <w:basedOn w:val="1"/>
    <w:qFormat/>
    <w:uiPriority w:val="99"/>
    <w:pPr>
      <w:spacing w:line="360" w:lineRule="auto"/>
      <w:ind w:left="425" w:firstLine="420" w:firstLineChars="200"/>
    </w:pPr>
    <w:rPr>
      <w:rFonts w:ascii="Calibri" w:hAnsi="Calibri" w:cs="Calibri"/>
    </w:rPr>
  </w:style>
  <w:style w:type="character" w:customStyle="1" w:styleId="31">
    <w:name w:val="apple-converted-space"/>
    <w:basedOn w:val="14"/>
    <w:uiPriority w:val="99"/>
  </w:style>
  <w:style w:type="paragraph" w:customStyle="1" w:styleId="32">
    <w:name w:val="Normal_0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4"/>
    <customShpInfo spid="_x0000_s2053"/>
    <customShpInfo spid="_x0000_s2052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7BB6D4-C1E1-4622-93AE-60275D1394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sidc</Company>
  <Pages>2</Pages>
  <Words>1293</Words>
  <Characters>1434</Characters>
  <Lines>10</Lines>
  <Paragraphs>2</Paragraphs>
  <TotalTime>3</TotalTime>
  <ScaleCrop>false</ScaleCrop>
  <LinksUpToDate>false</LinksUpToDate>
  <CharactersWithSpaces>1469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2022-06-21T05:27:00Z</dcterms:created>
  <dc:creator>Fan Yiling</dc:creator>
  <cp:lastModifiedBy>姜恒</cp:lastModifiedBy>
  <cp:lastPrinted>2018-05-11T09:20:00Z</cp:lastPrinted>
  <dcterms:modified xsi:type="dcterms:W3CDTF">2022-06-29T07:34:34Z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ABC8A93A339B4E3DA9EFA542BEDA81A7</vt:lpwstr>
  </property>
</Properties>
</file>