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uppressLineNumbers/>
        <w:spacing w:line="360" w:lineRule="auto"/>
        <w:ind w:firstLine="241" w:firstLineChars="100"/>
        <w:rPr>
          <w:rFonts w:hAnsi="宋体"/>
          <w:b/>
          <w:sz w:val="24"/>
          <w:szCs w:val="24"/>
        </w:rPr>
      </w:pPr>
      <w:r>
        <w:rPr>
          <w:rFonts w:hint="eastAsia" w:hAnsi="宋体"/>
          <w:b/>
          <w:sz w:val="24"/>
          <w:szCs w:val="24"/>
        </w:rPr>
        <w:t>附件</w:t>
      </w:r>
      <w:r>
        <w:rPr>
          <w:rFonts w:hint="eastAsia" w:hAnsi="宋体"/>
          <w:b/>
          <w:sz w:val="24"/>
          <w:szCs w:val="24"/>
          <w:lang w:val="en-US" w:eastAsia="zh-CN"/>
        </w:rPr>
        <w:t>2</w:t>
      </w:r>
      <w:bookmarkStart w:id="0" w:name="_GoBack"/>
      <w:bookmarkEnd w:id="0"/>
      <w:r>
        <w:rPr>
          <w:rFonts w:hAnsi="宋体"/>
          <w:b/>
          <w:sz w:val="24"/>
          <w:szCs w:val="24"/>
        </w:rPr>
        <w:t>-</w:t>
      </w:r>
      <w:r>
        <w:rPr>
          <w:rFonts w:hint="eastAsia" w:hAnsi="宋体"/>
          <w:b/>
          <w:sz w:val="24"/>
          <w:szCs w:val="24"/>
        </w:rPr>
        <w:t xml:space="preserve">8  </w:t>
      </w:r>
      <w:r>
        <w:rPr>
          <w:rFonts w:hint="eastAsia" w:hAnsi="宋体" w:cs="Times New Roman"/>
          <w:b/>
          <w:bCs/>
          <w:sz w:val="24"/>
          <w:szCs w:val="24"/>
        </w:rPr>
        <w:t>有色玻璃容器遮光性测定法</w:t>
      </w:r>
      <w:r>
        <w:rPr>
          <w:rFonts w:hint="eastAsia" w:hAnsi="宋体"/>
          <w:b/>
          <w:sz w:val="24"/>
          <w:szCs w:val="24"/>
        </w:rPr>
        <w:t>征求意见稿</w:t>
      </w:r>
    </w:p>
    <w:p>
      <w:pPr>
        <w:pStyle w:val="6"/>
        <w:suppressLineNumbers/>
        <w:spacing w:line="360" w:lineRule="auto"/>
        <w:rPr>
          <w:rFonts w:hAnsi="宋体"/>
          <w:b/>
          <w:sz w:val="24"/>
          <w:szCs w:val="24"/>
        </w:rPr>
      </w:pPr>
    </w:p>
    <w:p>
      <w:pPr>
        <w:pStyle w:val="6"/>
        <w:spacing w:line="360" w:lineRule="auto"/>
        <w:ind w:firstLine="410"/>
        <w:jc w:val="center"/>
        <w:rPr>
          <w:rFonts w:ascii="Times New Roman" w:hAnsi="Times New Roman" w:cs="Times New Roman"/>
          <w:b/>
          <w:bCs/>
          <w:sz w:val="24"/>
          <w:szCs w:val="24"/>
        </w:rPr>
      </w:pPr>
      <w:r>
        <w:rPr>
          <w:rFonts w:hint="eastAsia" w:hAnsi="宋体" w:cs="Times New Roman"/>
          <w:b/>
          <w:bCs/>
          <w:sz w:val="24"/>
          <w:szCs w:val="24"/>
        </w:rPr>
        <w:t>4023 有色玻璃容器遮光性测定法</w:t>
      </w:r>
      <w:r>
        <w:rPr>
          <w:rFonts w:hAnsi="宋体"/>
          <w:b/>
          <w:bCs/>
          <w:sz w:val="24"/>
          <w:szCs w:val="24"/>
        </w:rPr>
        <w:t xml:space="preserve"> </w:t>
      </w:r>
    </w:p>
    <w:p>
      <w:pPr>
        <w:pStyle w:val="6"/>
        <w:spacing w:line="360" w:lineRule="auto"/>
        <w:ind w:firstLine="480" w:firstLineChars="200"/>
        <w:rPr>
          <w:rFonts w:hAnsi="宋体"/>
          <w:sz w:val="24"/>
          <w:szCs w:val="24"/>
        </w:rPr>
      </w:pPr>
      <w:r>
        <w:rPr>
          <w:rFonts w:hint="eastAsia" w:hAnsi="宋体"/>
          <w:sz w:val="24"/>
          <w:szCs w:val="24"/>
        </w:rPr>
        <w:t>遮光性系指物体阻挡光透过的特性。有色玻璃容器对光线比较敏感的药品可起到保护作用，通常以透光率表示。当光穿过测试样品时，透光率随光的波长、玻璃成分、颜色深浅、厚度不同而不同。</w:t>
      </w:r>
    </w:p>
    <w:p>
      <w:pPr>
        <w:pStyle w:val="6"/>
        <w:spacing w:line="360" w:lineRule="auto"/>
        <w:ind w:firstLine="480" w:firstLineChars="200"/>
        <w:rPr>
          <w:rFonts w:hAnsi="宋体"/>
          <w:sz w:val="24"/>
          <w:szCs w:val="24"/>
        </w:rPr>
      </w:pPr>
      <w:r>
        <w:rPr>
          <w:rFonts w:hint="eastAsia" w:hAnsi="宋体"/>
          <w:sz w:val="24"/>
          <w:szCs w:val="24"/>
        </w:rPr>
        <w:t>本法适用于有色玻璃容器的遮光性测定。</w:t>
      </w:r>
    </w:p>
    <w:p>
      <w:pPr>
        <w:pStyle w:val="6"/>
        <w:spacing w:line="360" w:lineRule="auto"/>
        <w:ind w:firstLine="482" w:firstLineChars="200"/>
        <w:rPr>
          <w:rFonts w:hAnsi="宋体"/>
          <w:b/>
          <w:sz w:val="24"/>
          <w:szCs w:val="24"/>
        </w:rPr>
      </w:pPr>
      <w:r>
        <w:rPr>
          <w:rFonts w:hint="eastAsia" w:hAnsi="宋体"/>
          <w:b/>
          <w:sz w:val="24"/>
          <w:szCs w:val="24"/>
        </w:rPr>
        <w:t xml:space="preserve">测试原理  </w:t>
      </w:r>
    </w:p>
    <w:p>
      <w:pPr>
        <w:pStyle w:val="6"/>
        <w:spacing w:line="360" w:lineRule="auto"/>
        <w:ind w:firstLine="480" w:firstLineChars="200"/>
        <w:rPr>
          <w:rFonts w:hAnsi="宋体"/>
          <w:sz w:val="24"/>
          <w:szCs w:val="24"/>
        </w:rPr>
      </w:pPr>
      <w:r>
        <w:rPr>
          <w:rFonts w:hint="eastAsia" w:hAnsi="宋体"/>
          <w:sz w:val="24"/>
          <w:szCs w:val="24"/>
        </w:rPr>
        <w:t>本法是将光源发出的光束通过单色器成为不同波长的平行光束，垂直照射于测试样品，计算透过光强与入射光强的比值。</w:t>
      </w:r>
    </w:p>
    <w:p>
      <w:pPr>
        <w:pStyle w:val="6"/>
        <w:spacing w:line="360" w:lineRule="auto"/>
        <w:ind w:firstLine="482" w:firstLineChars="200"/>
        <w:rPr>
          <w:rFonts w:hAnsi="宋体"/>
          <w:b/>
          <w:sz w:val="24"/>
          <w:szCs w:val="24"/>
        </w:rPr>
      </w:pPr>
      <w:r>
        <w:rPr>
          <w:rFonts w:hint="eastAsia" w:hAnsi="宋体"/>
          <w:b/>
          <w:sz w:val="24"/>
          <w:szCs w:val="24"/>
        </w:rPr>
        <w:t xml:space="preserve">仪器装置  </w:t>
      </w:r>
    </w:p>
    <w:p>
      <w:pPr>
        <w:pStyle w:val="6"/>
        <w:spacing w:line="360" w:lineRule="auto"/>
        <w:ind w:firstLine="480" w:firstLineChars="200"/>
        <w:rPr>
          <w:rFonts w:hAnsi="宋体"/>
          <w:sz w:val="24"/>
          <w:szCs w:val="24"/>
        </w:rPr>
      </w:pPr>
      <w:r>
        <w:rPr>
          <w:rFonts w:hint="eastAsia" w:hAnsi="宋体"/>
          <w:sz w:val="24"/>
          <w:szCs w:val="24"/>
        </w:rPr>
        <w:t>紫外分光光度计，并装有能与积分球耦合的光电二极管检测器或光电倍增管。</w:t>
      </w:r>
    </w:p>
    <w:p>
      <w:pPr>
        <w:pStyle w:val="6"/>
        <w:spacing w:line="360" w:lineRule="auto"/>
        <w:ind w:firstLine="480" w:firstLineChars="200"/>
        <w:rPr>
          <w:rFonts w:hAnsi="宋体"/>
          <w:sz w:val="24"/>
          <w:szCs w:val="24"/>
        </w:rPr>
      </w:pPr>
      <w:r>
        <w:rPr>
          <w:rFonts w:hint="eastAsia" w:hAnsi="宋体"/>
          <w:sz w:val="24"/>
          <w:szCs w:val="24"/>
        </w:rPr>
        <w:t>壁厚测试仪，精度0.01mm。</w:t>
      </w:r>
    </w:p>
    <w:p>
      <w:pPr>
        <w:pStyle w:val="6"/>
        <w:spacing w:line="360" w:lineRule="auto"/>
        <w:ind w:firstLine="482" w:firstLineChars="200"/>
        <w:rPr>
          <w:rFonts w:hAnsi="宋体"/>
          <w:b/>
          <w:sz w:val="24"/>
          <w:szCs w:val="24"/>
        </w:rPr>
      </w:pPr>
      <w:r>
        <w:rPr>
          <w:rFonts w:hint="eastAsia" w:hAnsi="宋体"/>
          <w:b/>
          <w:sz w:val="24"/>
          <w:szCs w:val="24"/>
        </w:rPr>
        <w:t xml:space="preserve">供试品的制备  </w:t>
      </w:r>
    </w:p>
    <w:p>
      <w:pPr>
        <w:pStyle w:val="6"/>
        <w:spacing w:line="360" w:lineRule="auto"/>
        <w:ind w:firstLine="480" w:firstLineChars="200"/>
        <w:rPr>
          <w:rFonts w:hAnsi="宋体"/>
          <w:sz w:val="24"/>
          <w:szCs w:val="24"/>
        </w:rPr>
      </w:pPr>
      <w:r>
        <w:rPr>
          <w:rFonts w:hint="eastAsia" w:hAnsi="宋体"/>
          <w:sz w:val="24"/>
          <w:szCs w:val="24"/>
        </w:rPr>
        <w:t>取供试品5支，分别用碳基或金刚砂基砂轮切割成长条状。长度方向与样品的轴线方向平行，供试品的轴线方向长度以正好遮住仪器狭缝为宜。供试品大小应能固定在仪器比色托架上，通常为4cm×1cm。如样品较小，不能覆盖样品池，将未覆盖的部分用不透明纸或胶带遮蔽。</w:t>
      </w:r>
    </w:p>
    <w:p>
      <w:pPr>
        <w:pStyle w:val="6"/>
        <w:spacing w:line="360" w:lineRule="auto"/>
        <w:ind w:firstLine="480" w:firstLineChars="200"/>
        <w:rPr>
          <w:rFonts w:hAnsi="宋体"/>
          <w:sz w:val="24"/>
          <w:szCs w:val="24"/>
        </w:rPr>
      </w:pPr>
      <w:r>
        <w:rPr>
          <w:rFonts w:hint="eastAsia" w:hAnsi="宋体"/>
          <w:sz w:val="24"/>
          <w:szCs w:val="24"/>
        </w:rPr>
        <w:t>切割后的供试品用试验用水或无水乙醇溶液清洗干净、用擦镜纸或脱脂棉擦净供试品表面，自然晾干，避免在表面留下指纹或其他污渍。在切割、清洗过程中，应避免擦伤样品表面。</w:t>
      </w:r>
    </w:p>
    <w:p>
      <w:pPr>
        <w:pStyle w:val="6"/>
        <w:spacing w:line="360" w:lineRule="auto"/>
        <w:ind w:firstLine="482" w:firstLineChars="200"/>
        <w:rPr>
          <w:rFonts w:hAnsi="宋体"/>
          <w:b/>
          <w:sz w:val="24"/>
          <w:szCs w:val="24"/>
        </w:rPr>
      </w:pPr>
      <w:r>
        <w:rPr>
          <w:rFonts w:hint="eastAsia" w:hAnsi="宋体"/>
          <w:b/>
          <w:sz w:val="24"/>
          <w:szCs w:val="24"/>
        </w:rPr>
        <w:t xml:space="preserve">测定法  </w:t>
      </w:r>
    </w:p>
    <w:p>
      <w:pPr>
        <w:pStyle w:val="6"/>
        <w:spacing w:line="360" w:lineRule="auto"/>
        <w:ind w:firstLine="480" w:firstLineChars="200"/>
        <w:rPr>
          <w:rFonts w:hAnsi="宋体"/>
          <w:sz w:val="24"/>
          <w:szCs w:val="24"/>
        </w:rPr>
      </w:pPr>
      <w:r>
        <w:rPr>
          <w:rFonts w:hint="eastAsia" w:hAnsi="宋体"/>
          <w:sz w:val="24"/>
          <w:szCs w:val="24"/>
        </w:rPr>
        <w:t>将供试品置于分光光度计中，其圆柱轴平行于狭缝，这样光束垂直于截面的表面，并且反射造成的损失最小。以空气为参比，测量供试品在290~450nm光谱区间，连续的或不大于20nm间隔的透光率 。</w:t>
      </w:r>
    </w:p>
    <w:p>
      <w:pPr>
        <w:pStyle w:val="6"/>
        <w:spacing w:line="360" w:lineRule="auto"/>
        <w:ind w:firstLine="480" w:firstLineChars="200"/>
        <w:rPr>
          <w:rFonts w:hAnsi="宋体"/>
          <w:sz w:val="24"/>
          <w:szCs w:val="24"/>
        </w:rPr>
      </w:pPr>
      <w:r>
        <w:rPr>
          <w:rFonts w:hint="eastAsia" w:hAnsi="宋体"/>
          <w:sz w:val="24"/>
          <w:szCs w:val="24"/>
        </w:rPr>
        <w:t>如果关注有色玻璃材质本身的遮光性能，需要测量供试品的厚度：在供试品中间部位选取三个不同点，用壁厚测试仪测量厚度，结果取三个点厚度的平均值。</w:t>
      </w:r>
    </w:p>
    <w:p>
      <w:pPr>
        <w:pStyle w:val="6"/>
        <w:spacing w:line="360" w:lineRule="auto"/>
        <w:ind w:firstLine="482" w:firstLineChars="200"/>
        <w:rPr>
          <w:rFonts w:hAnsi="宋体"/>
          <w:b/>
          <w:sz w:val="24"/>
          <w:szCs w:val="24"/>
        </w:rPr>
      </w:pPr>
      <w:r>
        <w:rPr>
          <w:rFonts w:hint="eastAsia" w:hAnsi="宋体"/>
          <w:b/>
          <w:sz w:val="24"/>
          <w:szCs w:val="24"/>
        </w:rPr>
        <w:t>结果计算和表示</w:t>
      </w:r>
    </w:p>
    <w:p>
      <w:pPr>
        <w:pStyle w:val="6"/>
        <w:spacing w:line="360" w:lineRule="auto"/>
        <w:ind w:firstLine="480" w:firstLineChars="200"/>
        <w:rPr>
          <w:rFonts w:hAnsi="宋体"/>
          <w:sz w:val="24"/>
          <w:szCs w:val="24"/>
        </w:rPr>
      </w:pPr>
      <w:r>
        <w:rPr>
          <w:rFonts w:hint="eastAsia" w:hAnsi="宋体"/>
          <w:sz w:val="24"/>
          <w:szCs w:val="24"/>
        </w:rPr>
        <w:t>有色玻璃容器遮光性能以波长范围内测得的最大透光率表示。</w:t>
      </w:r>
    </w:p>
    <w:p>
      <w:pPr>
        <w:pStyle w:val="6"/>
        <w:spacing w:line="360" w:lineRule="auto"/>
        <w:ind w:firstLine="480" w:firstLineChars="200"/>
        <w:rPr>
          <w:rFonts w:hAnsi="宋体"/>
          <w:sz w:val="24"/>
          <w:szCs w:val="24"/>
        </w:rPr>
      </w:pPr>
      <w:r>
        <w:rPr>
          <w:rFonts w:hint="eastAsia" w:hAnsi="宋体"/>
          <w:sz w:val="24"/>
          <w:szCs w:val="24"/>
        </w:rPr>
        <w:t>如果关注有色玻璃材质本身的遮光性能，则以波长范围内测得最大透光率与供试品光斑覆盖处平均厚度的比值表示。</w:t>
      </w:r>
    </w:p>
    <w:p>
      <w:pPr>
        <w:pStyle w:val="6"/>
        <w:suppressLineNumbers/>
        <w:spacing w:line="360" w:lineRule="auto"/>
        <w:ind w:firstLine="480" w:firstLineChars="200"/>
        <w:rPr>
          <w:rFonts w:hAnsi="宋体"/>
          <w:sz w:val="24"/>
          <w:szCs w:val="24"/>
        </w:rPr>
      </w:pPr>
      <w:r>
        <w:rPr>
          <w:rFonts w:hAnsi="宋体"/>
          <w:sz w:val="24"/>
          <w:szCs w:val="24"/>
        </w:rPr>
        <mc:AlternateContent>
          <mc:Choice Requires="wps">
            <w:drawing>
              <wp:anchor distT="0" distB="0" distL="114300" distR="114300" simplePos="0" relativeHeight="251659264" behindDoc="0" locked="0" layoutInCell="1" allowOverlap="1">
                <wp:simplePos x="0" y="0"/>
                <wp:positionH relativeFrom="column">
                  <wp:posOffset>-66675</wp:posOffset>
                </wp:positionH>
                <wp:positionV relativeFrom="paragraph">
                  <wp:posOffset>121285</wp:posOffset>
                </wp:positionV>
                <wp:extent cx="5234940" cy="15240"/>
                <wp:effectExtent l="9525" t="6985" r="13335" b="6350"/>
                <wp:wrapNone/>
                <wp:docPr id="1" name="AutoShape 2"/>
                <wp:cNvGraphicFramePr/>
                <a:graphic xmlns:a="http://schemas.openxmlformats.org/drawingml/2006/main">
                  <a:graphicData uri="http://schemas.microsoft.com/office/word/2010/wordprocessingShape">
                    <wps:wsp>
                      <wps:cNvCnPr>
                        <a:cxnSpLocks noChangeShapeType="1"/>
                      </wps:cNvCnPr>
                      <wps:spPr bwMode="auto">
                        <a:xfrm>
                          <a:off x="0" y="0"/>
                          <a:ext cx="5234940" cy="15240"/>
                        </a:xfrm>
                        <a:prstGeom prst="straightConnector1">
                          <a:avLst/>
                        </a:prstGeom>
                        <a:noFill/>
                        <a:ln w="9525">
                          <a:solidFill>
                            <a:srgbClr val="000000"/>
                          </a:solidFill>
                          <a:round/>
                        </a:ln>
                      </wps:spPr>
                      <wps:bodyPr/>
                    </wps:wsp>
                  </a:graphicData>
                </a:graphic>
              </wp:anchor>
            </w:drawing>
          </mc:Choice>
          <mc:Fallback>
            <w:pict>
              <v:shape id="AutoShape 2" o:spid="_x0000_s1026" o:spt="32" type="#_x0000_t32" style="position:absolute;left:0pt;margin-left:-5.25pt;margin-top:9.55pt;height:1.2pt;width:412.2pt;z-index:251659264;mso-width-relative:page;mso-height-relative:page;" filled="f" stroked="t" coordsize="21600,21600" o:gfxdata="UEsDBAoAAAAAAIdO4kAAAAAAAAAAAAAAAAAEAAAAZHJzL1BLAwQUAAAACACHTuJA7FxKGdcAAAAJ&#10;AQAADwAAAGRycy9kb3ducmV2LnhtbE2PwU7DMBBE70j8g7VIXFBrOyioCXEqhMSBI20lrm68JIF4&#10;HcVOU/r1LCc4ruZp5m21PftBnHCKfSADeq1AIDXB9dQaOOxfVhsQMVlydgiEBr4xwra+vqps6cJC&#10;b3japVZwCcXSGuhSGkspY9Oht3EdRiTOPsLkbeJzaqWb7MLlfpCZUg/S2554obMjPnfYfO1mbwDj&#10;nGv1VPj28HpZ7t6zy+cy7o25vdHqEUTCc/qD4Vef1aFmp2OYyUUxGFhplTPKQaFBMLDR9wWIo4FM&#10;5yDrSv7/oP4BUEsDBBQAAAAIAIdO4kCaTkHa2AEAALYDAAAOAAAAZHJzL2Uyb0RvYy54bWytU8Fu&#10;2zAMvQ/YPwi6L068ZliNOMWQoLt0W4B2H6DIsi1MFgVSiZO/HyWn2dpdepgPgiSS7/E9yqu70+DE&#10;0SBZ8LVczOZSGK+hsb6r5c+n+w+fpaCofKMceFPLsyF5t37/bjWGypTQg2sMCgbxVI2hln2MoSoK&#10;0r0ZFM0gGM/BFnBQkY/YFQ2qkdEHV5Tz+adiBGwCgjZEfLudgvKCiG8BhLa12mxBHwbj44SKxqnI&#10;kqi3geQ6d9u2RscfbUsmCldLVhrzyiS836e1WK9U1aEKvdWXFtRbWnilaVDWM+kVaquiEge0/0AN&#10;ViMQtHGmYSgmIdkRVrGYv/LmsVfBZC1sNYWr6fT/YPX34w6FbfglSOHVwAP/coiQmUWZ7BkDVZy1&#10;8TtMAvXJP4YH0L9IeNj0yncmJz+dA9cuUkXxoiQdKDDJfvwGDecoxs9enVocEiS7IE55JOfrSMwp&#10;Cs2Xy/Ljze0NT0tzbLEseZsYVPVcHJDiVwODSJtaUkRluz5uwHsePuAiU6njA8Wp8LkgMXu4t87x&#10;vaqcF2Mtb5flMhcQONukYIoRdvuNQ3FU6RXl79LFizSEg28mEucvNiTlk4d7aM47TOHkCI8zy7g8&#10;vfRe/j7nrD+/2/o3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7FxKGdcAAAAJAQAADwAAAAAAAAAB&#10;ACAAAAAiAAAAZHJzL2Rvd25yZXYueG1sUEsBAhQAFAAAAAgAh07iQJpOQdrYAQAAtgMAAA4AAAAA&#10;AAAAAQAgAAAAJgEAAGRycy9lMm9Eb2MueG1sUEsFBgAAAAAGAAYAWQEAAHAFAAAAAA==&#10;">
                <v:fill on="f" focussize="0,0"/>
                <v:stroke color="#000000" joinstyle="round"/>
                <v:imagedata o:title=""/>
                <o:lock v:ext="edit" aspectratio="f"/>
              </v:shape>
            </w:pict>
          </mc:Fallback>
        </mc:AlternateContent>
      </w:r>
    </w:p>
    <w:p>
      <w:pPr>
        <w:pStyle w:val="6"/>
        <w:suppressLineNumbers/>
        <w:spacing w:line="360" w:lineRule="auto"/>
        <w:ind w:firstLine="480" w:firstLineChars="200"/>
        <w:rPr>
          <w:rFonts w:hAnsi="宋体"/>
          <w:sz w:val="24"/>
          <w:szCs w:val="24"/>
        </w:rPr>
      </w:pPr>
      <w:r>
        <w:rPr>
          <w:rFonts w:hint="eastAsia" w:hAnsi="宋体"/>
          <w:sz w:val="24"/>
          <w:szCs w:val="24"/>
        </w:rPr>
        <w:t>起草单位</w:t>
      </w:r>
      <w:r>
        <w:rPr>
          <w:rFonts w:hAnsi="宋体"/>
          <w:sz w:val="24"/>
          <w:szCs w:val="24"/>
        </w:rPr>
        <w:t>：</w:t>
      </w:r>
      <w:r>
        <w:rPr>
          <w:rFonts w:hint="eastAsia" w:hAnsi="宋体"/>
          <w:sz w:val="24"/>
          <w:szCs w:val="24"/>
        </w:rPr>
        <w:t>中国食品药品检定研究院       联系电话</w:t>
      </w:r>
      <w:r>
        <w:rPr>
          <w:rFonts w:hAnsi="宋体"/>
          <w:sz w:val="24"/>
          <w:szCs w:val="24"/>
        </w:rPr>
        <w:t>：</w:t>
      </w:r>
      <w:r>
        <w:rPr>
          <w:rFonts w:hint="eastAsia" w:hAnsi="宋体"/>
          <w:sz w:val="24"/>
          <w:szCs w:val="24"/>
        </w:rPr>
        <w:t>010-67095110</w:t>
      </w:r>
    </w:p>
    <w:p>
      <w:pPr>
        <w:pStyle w:val="6"/>
        <w:suppressLineNumbers/>
        <w:spacing w:line="360" w:lineRule="auto"/>
        <w:ind w:firstLine="480" w:firstLineChars="200"/>
        <w:rPr>
          <w:rFonts w:hAnsi="宋体"/>
          <w:sz w:val="24"/>
          <w:szCs w:val="24"/>
        </w:rPr>
      </w:pPr>
      <w:r>
        <w:rPr>
          <w:rFonts w:hint="eastAsia" w:hAnsi="宋体"/>
          <w:sz w:val="24"/>
          <w:szCs w:val="24"/>
        </w:rPr>
        <w:t>复核单位</w:t>
      </w:r>
      <w:r>
        <w:rPr>
          <w:rFonts w:hAnsi="宋体"/>
          <w:sz w:val="24"/>
          <w:szCs w:val="24"/>
        </w:rPr>
        <w:t>：</w:t>
      </w:r>
      <w:r>
        <w:rPr>
          <w:rFonts w:hint="eastAsia" w:hAnsi="宋体"/>
          <w:sz w:val="24"/>
          <w:szCs w:val="24"/>
        </w:rPr>
        <w:t>中国食品药品检定研究院、国家食品药品监督管理局药品包装材料科研检验中心、北京市药品包装材料检验所、四川省药品检验研究院、双峰格雷斯海姆医药玻璃有限公司、山东省药用玻璃股份有限公司、重庆正川医药包装材料股份有限公司。</w:t>
      </w:r>
    </w:p>
    <w:p>
      <w:pPr>
        <w:pStyle w:val="6"/>
        <w:suppressLineNumbers/>
        <w:spacing w:line="360" w:lineRule="auto"/>
        <w:ind w:firstLine="480" w:firstLineChars="200"/>
        <w:rPr>
          <w:rFonts w:hAnsi="宋体"/>
          <w:sz w:val="24"/>
          <w:szCs w:val="24"/>
        </w:rPr>
      </w:pPr>
      <w:r>
        <w:rPr>
          <w:rFonts w:hint="eastAsia" w:hAnsi="宋体"/>
          <w:sz w:val="24"/>
          <w:szCs w:val="24"/>
        </w:rPr>
        <w:t>参与单位</w:t>
      </w:r>
      <w:r>
        <w:rPr>
          <w:rFonts w:hAnsi="宋体"/>
          <w:sz w:val="24"/>
          <w:szCs w:val="24"/>
        </w:rPr>
        <w:t>：</w:t>
      </w:r>
      <w:r>
        <w:rPr>
          <w:rFonts w:hint="eastAsia" w:hAnsi="宋体"/>
          <w:sz w:val="24"/>
          <w:szCs w:val="24"/>
        </w:rPr>
        <w:t>沧州四星玻璃股份有限公司、山东力诺特种玻璃股份有限公司、宁波正力药品包装有限公司。</w:t>
      </w:r>
    </w:p>
    <w:p>
      <w:pPr>
        <w:pStyle w:val="6"/>
        <w:suppressLineNumbers/>
        <w:spacing w:line="360" w:lineRule="auto"/>
        <w:rPr>
          <w:rFonts w:hAnsi="宋体"/>
          <w:sz w:val="24"/>
          <w:szCs w:val="24"/>
        </w:rPr>
      </w:pPr>
    </w:p>
    <w:p>
      <w:pPr>
        <w:pStyle w:val="6"/>
        <w:suppressLineNumbers/>
        <w:spacing w:line="360" w:lineRule="auto"/>
        <w:jc w:val="center"/>
        <w:rPr>
          <w:rFonts w:hAnsi="宋体"/>
          <w:b/>
          <w:sz w:val="24"/>
          <w:szCs w:val="24"/>
        </w:rPr>
      </w:pPr>
      <w:r>
        <w:rPr>
          <w:rFonts w:hint="eastAsia" w:hAnsi="宋体"/>
          <w:b/>
          <w:sz w:val="24"/>
          <w:szCs w:val="24"/>
        </w:rPr>
        <w:t>有色玻璃容器遮光性测定法起草</w:t>
      </w:r>
      <w:r>
        <w:rPr>
          <w:rFonts w:hAnsi="宋体"/>
          <w:b/>
          <w:sz w:val="24"/>
          <w:szCs w:val="24"/>
        </w:rPr>
        <w:t>说明</w:t>
      </w:r>
    </w:p>
    <w:p>
      <w:pPr>
        <w:pStyle w:val="6"/>
        <w:suppressLineNumbers/>
        <w:spacing w:line="360" w:lineRule="auto"/>
        <w:rPr>
          <w:rFonts w:hAnsi="宋体"/>
          <w:color w:val="FF0000"/>
          <w:sz w:val="24"/>
          <w:szCs w:val="24"/>
        </w:rPr>
      </w:pPr>
    </w:p>
    <w:p>
      <w:pPr>
        <w:pStyle w:val="6"/>
        <w:suppressLineNumbers/>
        <w:spacing w:line="360" w:lineRule="auto"/>
        <w:ind w:firstLine="480" w:firstLineChars="200"/>
        <w:jc w:val="left"/>
        <w:rPr>
          <w:rFonts w:hAnsi="宋体"/>
          <w:sz w:val="24"/>
          <w:szCs w:val="24"/>
        </w:rPr>
      </w:pPr>
      <w:r>
        <w:rPr>
          <w:rFonts w:hint="eastAsia" w:hAnsi="宋体"/>
          <w:sz w:val="24"/>
          <w:szCs w:val="24"/>
        </w:rPr>
        <w:t>一</w:t>
      </w:r>
      <w:r>
        <w:rPr>
          <w:rFonts w:hAnsi="宋体"/>
          <w:sz w:val="24"/>
          <w:szCs w:val="24"/>
        </w:rPr>
        <w:t>、</w:t>
      </w:r>
      <w:r>
        <w:rPr>
          <w:rFonts w:hint="eastAsia" w:hAnsi="宋体"/>
          <w:sz w:val="24"/>
          <w:szCs w:val="24"/>
        </w:rPr>
        <w:t>制修订</w:t>
      </w:r>
      <w:r>
        <w:rPr>
          <w:rFonts w:hAnsi="宋体"/>
          <w:sz w:val="24"/>
          <w:szCs w:val="24"/>
        </w:rPr>
        <w:t>的</w:t>
      </w:r>
      <w:r>
        <w:rPr>
          <w:rFonts w:hint="eastAsia" w:hAnsi="宋体"/>
          <w:sz w:val="24"/>
          <w:szCs w:val="24"/>
        </w:rPr>
        <w:t>目的</w:t>
      </w:r>
      <w:r>
        <w:rPr>
          <w:rFonts w:hAnsi="宋体"/>
          <w:sz w:val="24"/>
          <w:szCs w:val="24"/>
        </w:rPr>
        <w:t>意义</w:t>
      </w:r>
    </w:p>
    <w:p>
      <w:pPr>
        <w:pStyle w:val="6"/>
        <w:suppressLineNumbers/>
        <w:spacing w:line="360" w:lineRule="auto"/>
        <w:ind w:firstLine="480" w:firstLineChars="200"/>
        <w:jc w:val="left"/>
        <w:rPr>
          <w:rFonts w:hAnsi="宋体"/>
          <w:sz w:val="24"/>
          <w:szCs w:val="24"/>
        </w:rPr>
      </w:pPr>
      <w:r>
        <w:rPr>
          <w:rFonts w:hint="eastAsia" w:hAnsi="宋体"/>
          <w:sz w:val="24"/>
          <w:szCs w:val="24"/>
        </w:rPr>
        <w:t>1.部分药品对光线比较敏感，对包装有避光的需求，因此考察玻璃容器的避光性能是非常有必要的。</w:t>
      </w:r>
    </w:p>
    <w:p>
      <w:pPr>
        <w:pStyle w:val="6"/>
        <w:suppressLineNumbers/>
        <w:spacing w:line="360" w:lineRule="auto"/>
        <w:ind w:firstLine="480" w:firstLineChars="200"/>
        <w:jc w:val="left"/>
        <w:rPr>
          <w:rFonts w:hAnsi="宋体"/>
          <w:sz w:val="24"/>
          <w:szCs w:val="24"/>
        </w:rPr>
      </w:pPr>
      <w:r>
        <w:rPr>
          <w:rFonts w:hint="eastAsia" w:hAnsi="宋体"/>
          <w:sz w:val="24"/>
          <w:szCs w:val="24"/>
        </w:rPr>
        <w:t>2.现行美国药典、欧洲药典、日本药局方均收载此项目，我国药典中暂不涉及，应填补此空白。</w:t>
      </w:r>
    </w:p>
    <w:p>
      <w:pPr>
        <w:pStyle w:val="6"/>
        <w:suppressLineNumbers/>
        <w:spacing w:line="360" w:lineRule="auto"/>
        <w:ind w:firstLine="480" w:firstLineChars="200"/>
        <w:jc w:val="left"/>
        <w:rPr>
          <w:rFonts w:hAnsi="宋体"/>
          <w:sz w:val="24"/>
          <w:szCs w:val="24"/>
        </w:rPr>
      </w:pPr>
      <w:r>
        <w:rPr>
          <w:rFonts w:hint="eastAsia" w:hAnsi="宋体"/>
          <w:sz w:val="24"/>
          <w:szCs w:val="24"/>
        </w:rPr>
        <w:t>3.形成“有色玻璃容器遮光性测定法”方法标准，指导玻璃容器遮光性测定</w:t>
      </w:r>
    </w:p>
    <w:p>
      <w:pPr>
        <w:pStyle w:val="6"/>
        <w:suppressLineNumbers/>
        <w:spacing w:line="360" w:lineRule="auto"/>
        <w:ind w:firstLine="480" w:firstLineChars="200"/>
        <w:jc w:val="left"/>
        <w:rPr>
          <w:rFonts w:hAnsi="宋体"/>
          <w:sz w:val="24"/>
          <w:szCs w:val="24"/>
        </w:rPr>
      </w:pPr>
      <w:r>
        <w:rPr>
          <w:rFonts w:hint="eastAsia" w:hAnsi="宋体"/>
          <w:sz w:val="24"/>
          <w:szCs w:val="24"/>
        </w:rPr>
        <w:t>二</w:t>
      </w:r>
      <w:r>
        <w:rPr>
          <w:rFonts w:hAnsi="宋体"/>
          <w:sz w:val="24"/>
          <w:szCs w:val="24"/>
        </w:rPr>
        <w:t>、</w:t>
      </w:r>
      <w:r>
        <w:rPr>
          <w:rFonts w:hint="eastAsia" w:hAnsi="宋体"/>
          <w:sz w:val="24"/>
          <w:szCs w:val="24"/>
        </w:rPr>
        <w:t>起草过程</w:t>
      </w:r>
    </w:p>
    <w:p>
      <w:pPr>
        <w:pStyle w:val="6"/>
        <w:suppressLineNumbers/>
        <w:spacing w:line="360" w:lineRule="auto"/>
        <w:ind w:firstLine="480" w:firstLineChars="200"/>
        <w:jc w:val="left"/>
        <w:rPr>
          <w:rFonts w:hAnsi="宋体"/>
          <w:sz w:val="24"/>
          <w:szCs w:val="24"/>
        </w:rPr>
      </w:pPr>
      <w:r>
        <w:rPr>
          <w:rFonts w:hint="eastAsia" w:hAnsi="宋体"/>
          <w:sz w:val="24"/>
          <w:szCs w:val="24"/>
        </w:rPr>
        <w:t>1.查阅与有色玻璃容器遮光性相关的国内外标准并进行了标准比对。</w:t>
      </w:r>
    </w:p>
    <w:p>
      <w:pPr>
        <w:pStyle w:val="6"/>
        <w:suppressLineNumbers/>
        <w:spacing w:line="360" w:lineRule="auto"/>
        <w:ind w:firstLine="480" w:firstLineChars="200"/>
        <w:jc w:val="left"/>
        <w:rPr>
          <w:rFonts w:hAnsi="宋体"/>
          <w:sz w:val="24"/>
          <w:szCs w:val="24"/>
        </w:rPr>
      </w:pPr>
      <w:r>
        <w:rPr>
          <w:rFonts w:hint="eastAsia" w:hAnsi="宋体"/>
          <w:sz w:val="24"/>
          <w:szCs w:val="24"/>
        </w:rPr>
        <w:t>2.根据与企业咨询沟通，初步确定了适合本国行情的有色玻璃容器遮光性测定法。</w:t>
      </w:r>
    </w:p>
    <w:p>
      <w:pPr>
        <w:pStyle w:val="6"/>
        <w:suppressLineNumbers/>
        <w:spacing w:line="360" w:lineRule="auto"/>
        <w:ind w:firstLine="480" w:firstLineChars="200"/>
        <w:jc w:val="left"/>
        <w:rPr>
          <w:rFonts w:hAnsi="宋体"/>
          <w:color w:val="FF0000"/>
          <w:sz w:val="24"/>
          <w:szCs w:val="24"/>
        </w:rPr>
      </w:pPr>
      <w:r>
        <w:rPr>
          <w:rFonts w:hint="eastAsia" w:hAnsi="宋体"/>
          <w:sz w:val="24"/>
          <w:szCs w:val="24"/>
        </w:rPr>
        <w:t>3.收集代表性样品进行了遮光性测定，对测定方法进行了实验验证和结果对比，以优化测定方法。</w:t>
      </w:r>
    </w:p>
    <w:p>
      <w:pPr>
        <w:pStyle w:val="6"/>
        <w:suppressLineNumbers/>
        <w:spacing w:line="360" w:lineRule="auto"/>
        <w:ind w:firstLine="480" w:firstLineChars="200"/>
        <w:jc w:val="left"/>
        <w:rPr>
          <w:rFonts w:hAnsi="宋体"/>
          <w:sz w:val="24"/>
          <w:szCs w:val="24"/>
        </w:rPr>
      </w:pPr>
      <w:r>
        <w:rPr>
          <w:rFonts w:hint="eastAsia" w:hAnsi="宋体"/>
          <w:sz w:val="24"/>
          <w:szCs w:val="24"/>
        </w:rPr>
        <w:t>4.形成“有色玻璃容器遮光性测定法”征求意见稿。</w:t>
      </w:r>
      <w:r>
        <w:rPr>
          <w:rFonts w:hAnsi="宋体"/>
          <w:sz w:val="24"/>
          <w:szCs w:val="24"/>
        </w:rPr>
        <w:t xml:space="preserve"> </w:t>
      </w:r>
    </w:p>
    <w:p>
      <w:pPr>
        <w:pStyle w:val="6"/>
        <w:suppressLineNumbers/>
        <w:spacing w:line="360" w:lineRule="auto"/>
        <w:ind w:firstLine="480" w:firstLineChars="200"/>
        <w:jc w:val="left"/>
        <w:rPr>
          <w:rFonts w:hAnsi="宋体"/>
          <w:sz w:val="24"/>
          <w:szCs w:val="24"/>
        </w:rPr>
      </w:pPr>
      <w:r>
        <w:rPr>
          <w:rFonts w:hint="eastAsia" w:hAnsi="宋体"/>
          <w:sz w:val="24"/>
          <w:szCs w:val="24"/>
        </w:rPr>
        <w:t>三、制修订</w:t>
      </w:r>
      <w:r>
        <w:rPr>
          <w:rFonts w:hAnsi="宋体"/>
          <w:sz w:val="24"/>
          <w:szCs w:val="24"/>
        </w:rPr>
        <w:t>的</w:t>
      </w:r>
      <w:r>
        <w:rPr>
          <w:rFonts w:hint="eastAsia" w:hAnsi="宋体"/>
          <w:sz w:val="24"/>
          <w:szCs w:val="24"/>
        </w:rPr>
        <w:t>总体思路</w:t>
      </w:r>
    </w:p>
    <w:p>
      <w:pPr>
        <w:pStyle w:val="6"/>
        <w:suppressLineNumbers/>
        <w:spacing w:line="360" w:lineRule="auto"/>
        <w:ind w:firstLine="480" w:firstLineChars="200"/>
        <w:jc w:val="left"/>
        <w:rPr>
          <w:rFonts w:hAnsi="宋体"/>
          <w:sz w:val="24"/>
          <w:szCs w:val="24"/>
        </w:rPr>
      </w:pPr>
      <w:r>
        <w:rPr>
          <w:rFonts w:hint="eastAsia" w:hAnsi="宋体"/>
          <w:sz w:val="24"/>
          <w:szCs w:val="24"/>
        </w:rPr>
        <w:t>遵循药典委对药包材标准体系的架构思路，参考</w:t>
      </w:r>
      <w:r>
        <w:rPr>
          <w:rFonts w:hAnsi="宋体"/>
          <w:sz w:val="24"/>
          <w:szCs w:val="24"/>
        </w:rPr>
        <w:t>USP43 &lt;660&gt;</w:t>
      </w:r>
      <w:r>
        <w:rPr>
          <w:rFonts w:hint="eastAsia" w:hAnsi="宋体"/>
          <w:sz w:val="24"/>
          <w:szCs w:val="24"/>
        </w:rPr>
        <w:t>玻璃容器、</w:t>
      </w:r>
      <w:r>
        <w:rPr>
          <w:rFonts w:hAnsi="宋体"/>
          <w:sz w:val="24"/>
          <w:szCs w:val="24"/>
        </w:rPr>
        <w:t>EP10.8</w:t>
      </w:r>
      <w:r>
        <w:rPr>
          <w:rFonts w:hint="eastAsia" w:hAnsi="宋体"/>
          <w:sz w:val="24"/>
          <w:szCs w:val="24"/>
        </w:rPr>
        <w:t xml:space="preserve"> </w:t>
      </w:r>
      <w:r>
        <w:rPr>
          <w:rFonts w:hAnsi="宋体"/>
          <w:sz w:val="24"/>
          <w:szCs w:val="24"/>
        </w:rPr>
        <w:t>3.2.1</w:t>
      </w:r>
      <w:r>
        <w:rPr>
          <w:rFonts w:hint="eastAsia" w:hAnsi="宋体"/>
          <w:sz w:val="24"/>
          <w:szCs w:val="24"/>
        </w:rPr>
        <w:t>药用玻璃容器和</w:t>
      </w:r>
      <w:r>
        <w:rPr>
          <w:rFonts w:hAnsi="宋体"/>
          <w:sz w:val="24"/>
          <w:szCs w:val="24"/>
        </w:rPr>
        <w:t>JP17 7.01</w:t>
      </w:r>
      <w:r>
        <w:rPr>
          <w:rFonts w:hint="eastAsia" w:hAnsi="宋体"/>
          <w:sz w:val="24"/>
          <w:szCs w:val="24"/>
        </w:rPr>
        <w:t>注射剂用玻璃容器试验法 中收载的相关标准，制定有色玻璃容器遮光性测定法，并对关键方法进行验证，为实际检测提供可行可靠的方法依据。</w:t>
      </w:r>
    </w:p>
    <w:p>
      <w:pPr>
        <w:pStyle w:val="6"/>
        <w:suppressLineNumbers/>
        <w:spacing w:line="360" w:lineRule="auto"/>
        <w:ind w:firstLine="480" w:firstLineChars="200"/>
        <w:jc w:val="left"/>
        <w:rPr>
          <w:rFonts w:hAnsi="宋体"/>
          <w:sz w:val="24"/>
          <w:szCs w:val="24"/>
        </w:rPr>
      </w:pPr>
      <w:r>
        <w:rPr>
          <w:rFonts w:hint="eastAsia" w:hAnsi="宋体"/>
          <w:sz w:val="24"/>
          <w:szCs w:val="24"/>
        </w:rPr>
        <w:t>四、需重点</w:t>
      </w:r>
      <w:r>
        <w:rPr>
          <w:rFonts w:hAnsi="宋体"/>
          <w:sz w:val="24"/>
          <w:szCs w:val="24"/>
        </w:rPr>
        <w:t>说明的问题</w:t>
      </w:r>
    </w:p>
    <w:p>
      <w:pPr>
        <w:pStyle w:val="6"/>
        <w:suppressLineNumbers/>
        <w:spacing w:line="360" w:lineRule="auto"/>
        <w:ind w:firstLine="480" w:firstLineChars="200"/>
        <w:jc w:val="left"/>
        <w:rPr>
          <w:rFonts w:hAnsi="宋体"/>
          <w:sz w:val="24"/>
          <w:szCs w:val="24"/>
        </w:rPr>
      </w:pPr>
      <w:r>
        <w:rPr>
          <w:rFonts w:hint="eastAsia" w:hAnsi="宋体"/>
          <w:sz w:val="24"/>
          <w:szCs w:val="24"/>
        </w:rPr>
        <w:t>本标准是新增方法标准，确定的主要内容是：</w:t>
      </w:r>
    </w:p>
    <w:p>
      <w:pPr>
        <w:pStyle w:val="6"/>
        <w:suppressLineNumbers/>
        <w:spacing w:line="360" w:lineRule="auto"/>
        <w:ind w:firstLine="480" w:firstLineChars="200"/>
        <w:jc w:val="left"/>
        <w:rPr>
          <w:rFonts w:hAnsi="宋体"/>
          <w:sz w:val="24"/>
          <w:szCs w:val="24"/>
        </w:rPr>
      </w:pPr>
      <w:r>
        <w:rPr>
          <w:rFonts w:hint="eastAsia" w:hAnsi="宋体"/>
          <w:sz w:val="24"/>
          <w:szCs w:val="24"/>
        </w:rPr>
        <w:t>1.本标准规定了有色玻璃容器的遮光性定义及表示方式、有色玻璃遮光性测试法的原理。</w:t>
      </w:r>
    </w:p>
    <w:p>
      <w:pPr>
        <w:pStyle w:val="6"/>
        <w:suppressLineNumbers/>
        <w:spacing w:line="360" w:lineRule="auto"/>
        <w:ind w:firstLine="480" w:firstLineChars="200"/>
        <w:jc w:val="left"/>
        <w:rPr>
          <w:rFonts w:hAnsi="宋体"/>
          <w:sz w:val="24"/>
          <w:szCs w:val="24"/>
        </w:rPr>
      </w:pPr>
      <w:r>
        <w:rPr>
          <w:rFonts w:hint="eastAsia" w:hAnsi="宋体"/>
          <w:sz w:val="24"/>
          <w:szCs w:val="24"/>
        </w:rPr>
        <w:t>2020版《中国药典》四部中规定，遮光系指用不透光的容器包装，例如棕色容器或黑色包装材料包裹的无色透明、半透明容器；避光系指避免日光直射；因此本标准的名称定为有色玻璃容器遮光性测定。</w:t>
      </w:r>
    </w:p>
    <w:p>
      <w:pPr>
        <w:pStyle w:val="6"/>
        <w:suppressLineNumbers/>
        <w:spacing w:line="360" w:lineRule="auto"/>
        <w:ind w:firstLine="480" w:firstLineChars="200"/>
        <w:jc w:val="left"/>
        <w:rPr>
          <w:rFonts w:hAnsi="宋体"/>
          <w:sz w:val="24"/>
          <w:szCs w:val="24"/>
        </w:rPr>
      </w:pPr>
      <w:r>
        <w:rPr>
          <w:rFonts w:hint="eastAsia" w:hAnsi="宋体"/>
          <w:sz w:val="24"/>
          <w:szCs w:val="24"/>
        </w:rPr>
        <w:t>2.本标准适用于各类有色玻璃容器。</w:t>
      </w:r>
    </w:p>
    <w:p>
      <w:pPr>
        <w:pStyle w:val="6"/>
        <w:suppressLineNumbers/>
        <w:spacing w:line="360" w:lineRule="auto"/>
        <w:ind w:firstLine="480" w:firstLineChars="200"/>
        <w:jc w:val="left"/>
        <w:rPr>
          <w:rFonts w:hAnsi="宋体"/>
          <w:sz w:val="24"/>
          <w:szCs w:val="24"/>
        </w:rPr>
      </w:pPr>
      <w:r>
        <w:rPr>
          <w:rFonts w:hint="eastAsia" w:hAnsi="宋体"/>
          <w:sz w:val="24"/>
          <w:szCs w:val="24"/>
        </w:rPr>
        <w:t>3.本标准规定了检测有色玻璃遮光性所用仪器，包括紫外-可见分光光度计，如果关注有色玻璃材质本身的遮光性能，还需壁厚测试仪。</w:t>
      </w:r>
    </w:p>
    <w:p>
      <w:pPr>
        <w:pStyle w:val="6"/>
        <w:suppressLineNumbers/>
        <w:spacing w:line="360" w:lineRule="auto"/>
        <w:ind w:firstLine="480" w:firstLineChars="200"/>
        <w:jc w:val="left"/>
        <w:rPr>
          <w:rFonts w:hAnsi="宋体"/>
          <w:sz w:val="24"/>
          <w:szCs w:val="24"/>
        </w:rPr>
      </w:pPr>
      <w:r>
        <w:rPr>
          <w:rFonts w:hint="eastAsia" w:hAnsi="宋体"/>
          <w:sz w:val="24"/>
          <w:szCs w:val="24"/>
        </w:rPr>
        <w:t>紫外-可见分光光度计应配有积分球检测器，以确保玻璃测试时透过的光被全部接收。</w:t>
      </w:r>
    </w:p>
    <w:p>
      <w:pPr>
        <w:pStyle w:val="6"/>
        <w:suppressLineNumbers/>
        <w:spacing w:line="360" w:lineRule="auto"/>
        <w:ind w:firstLine="480" w:firstLineChars="200"/>
        <w:jc w:val="left"/>
        <w:rPr>
          <w:rFonts w:hAnsi="宋体"/>
          <w:sz w:val="24"/>
          <w:szCs w:val="24"/>
        </w:rPr>
      </w:pPr>
      <w:r>
        <w:rPr>
          <w:rFonts w:hint="eastAsia" w:hAnsi="宋体"/>
          <w:sz w:val="24"/>
          <w:szCs w:val="24"/>
        </w:rPr>
        <w:t>4.本标准确定了供试品的制备方法。</w:t>
      </w:r>
    </w:p>
    <w:p>
      <w:pPr>
        <w:pStyle w:val="6"/>
        <w:suppressLineNumbers/>
        <w:spacing w:line="360" w:lineRule="auto"/>
        <w:ind w:firstLine="480" w:firstLineChars="200"/>
        <w:jc w:val="left"/>
        <w:rPr>
          <w:rFonts w:hAnsi="宋体"/>
          <w:sz w:val="24"/>
          <w:szCs w:val="24"/>
        </w:rPr>
      </w:pPr>
      <w:r>
        <w:rPr>
          <w:rFonts w:hint="eastAsia" w:hAnsi="宋体"/>
          <w:sz w:val="24"/>
          <w:szCs w:val="24"/>
        </w:rPr>
        <w:t>为保证使用仪器可准确测量样品，对样品的数量、尺寸、处理及清洗做了相关规定的要求。</w:t>
      </w:r>
    </w:p>
    <w:p>
      <w:pPr>
        <w:pStyle w:val="6"/>
        <w:suppressLineNumbers/>
        <w:spacing w:line="360" w:lineRule="auto"/>
        <w:ind w:firstLine="480" w:firstLineChars="200"/>
        <w:jc w:val="left"/>
        <w:rPr>
          <w:rFonts w:hAnsi="宋体"/>
          <w:sz w:val="24"/>
          <w:szCs w:val="24"/>
        </w:rPr>
      </w:pPr>
      <w:r>
        <w:rPr>
          <w:rFonts w:hint="eastAsia" w:hAnsi="宋体"/>
          <w:sz w:val="24"/>
          <w:szCs w:val="24"/>
        </w:rPr>
        <w:t>5.本标准有色玻璃的测试方法。</w:t>
      </w:r>
    </w:p>
    <w:p>
      <w:pPr>
        <w:pStyle w:val="6"/>
        <w:suppressLineNumbers/>
        <w:spacing w:line="360" w:lineRule="auto"/>
        <w:ind w:firstLine="480" w:firstLineChars="200"/>
        <w:jc w:val="left"/>
        <w:rPr>
          <w:rFonts w:hAnsi="宋体"/>
          <w:sz w:val="24"/>
          <w:szCs w:val="24"/>
        </w:rPr>
      </w:pPr>
      <w:r>
        <w:rPr>
          <w:rFonts w:hint="eastAsia" w:hAnsi="宋体"/>
          <w:sz w:val="24"/>
          <w:szCs w:val="24"/>
        </w:rPr>
        <w:t>将供试品置于分光光度计中，其圆柱轴平行于狭缝，这样光束垂直于截面的表面，并且反射造成的损失最小。以空气为参比，测量供试品在290~450nm光谱区间，连续的或不大于20nm间隔的透光率。</w:t>
      </w:r>
    </w:p>
    <w:p>
      <w:pPr>
        <w:pStyle w:val="6"/>
        <w:suppressLineNumbers/>
        <w:spacing w:line="360" w:lineRule="auto"/>
        <w:ind w:firstLine="480" w:firstLineChars="200"/>
        <w:jc w:val="left"/>
        <w:rPr>
          <w:rFonts w:hAnsi="宋体"/>
          <w:sz w:val="24"/>
          <w:szCs w:val="24"/>
        </w:rPr>
      </w:pPr>
      <w:r>
        <w:rPr>
          <w:rFonts w:hint="eastAsia" w:hAnsi="宋体"/>
          <w:sz w:val="24"/>
          <w:szCs w:val="24"/>
        </w:rPr>
        <w:t>考虑到不同仪器测量精度和稳定性有差别的原因，在不影响结果的基础上，将步长规定为连续或每间隔不大于20nm。</w:t>
      </w:r>
    </w:p>
    <w:p>
      <w:pPr>
        <w:pStyle w:val="6"/>
        <w:suppressLineNumbers/>
        <w:spacing w:line="360" w:lineRule="auto"/>
        <w:ind w:firstLine="480" w:firstLineChars="200"/>
        <w:jc w:val="left"/>
        <w:rPr>
          <w:rFonts w:hAnsi="宋体"/>
          <w:sz w:val="24"/>
          <w:szCs w:val="24"/>
        </w:rPr>
      </w:pPr>
      <w:r>
        <w:rPr>
          <w:rFonts w:hint="eastAsia" w:hAnsi="宋体"/>
          <w:sz w:val="24"/>
          <w:szCs w:val="24"/>
        </w:rPr>
        <w:t>6.标准设置了两种结果表示方式。</w:t>
      </w:r>
    </w:p>
    <w:p>
      <w:pPr>
        <w:pStyle w:val="6"/>
        <w:suppressLineNumbers/>
        <w:spacing w:line="360" w:lineRule="auto"/>
        <w:ind w:firstLine="480" w:firstLineChars="200"/>
        <w:jc w:val="left"/>
        <w:rPr>
          <w:rFonts w:hAnsi="宋体"/>
          <w:sz w:val="24"/>
          <w:szCs w:val="24"/>
        </w:rPr>
      </w:pPr>
      <w:r>
        <w:rPr>
          <w:rFonts w:hint="eastAsia" w:hAnsi="宋体"/>
          <w:sz w:val="24"/>
          <w:szCs w:val="24"/>
        </w:rPr>
        <w:t>本标准规定了有色玻璃容器遮光性能以波长范围内测得的最大透光率表示。</w:t>
      </w:r>
    </w:p>
    <w:p>
      <w:pPr>
        <w:pStyle w:val="6"/>
        <w:suppressLineNumbers/>
        <w:spacing w:line="360" w:lineRule="auto"/>
        <w:ind w:firstLine="480" w:firstLineChars="200"/>
        <w:jc w:val="left"/>
        <w:rPr>
          <w:rFonts w:hAnsi="宋体"/>
          <w:sz w:val="24"/>
          <w:szCs w:val="24"/>
        </w:rPr>
      </w:pPr>
      <w:r>
        <w:rPr>
          <w:rFonts w:hint="eastAsia" w:hAnsi="宋体"/>
          <w:sz w:val="24"/>
          <w:szCs w:val="24"/>
        </w:rPr>
        <w:t>考虑到国内外药典有色玻璃遮光性项目的发展趋势及企业需求，建议有色玻璃材质本身的遮光性能以波长范围内测得最大透光率与供试品光斑覆盖处平均厚度的比值表示。</w:t>
      </w:r>
    </w:p>
    <w:p>
      <w:pPr>
        <w:pStyle w:val="6"/>
        <w:suppressLineNumbers/>
        <w:spacing w:line="360" w:lineRule="auto"/>
        <w:ind w:firstLine="480" w:firstLineChars="200"/>
        <w:jc w:val="left"/>
        <w:rPr>
          <w:rFonts w:hint="eastAsia" w:hAnsi="宋体"/>
          <w:sz w:val="24"/>
          <w:szCs w:val="24"/>
        </w:rPr>
      </w:pPr>
      <w:r>
        <w:rPr>
          <w:rFonts w:hint="eastAsia" w:hAnsi="宋体"/>
          <w:sz w:val="24"/>
          <w:szCs w:val="24"/>
        </w:rPr>
        <w:t>7. 该方法的结果判定详见《中国药典》药品</w:t>
      </w:r>
      <w:r>
        <w:rPr>
          <w:rFonts w:hAnsi="宋体"/>
          <w:sz w:val="24"/>
          <w:szCs w:val="24"/>
        </w:rPr>
        <w:t>包装用玻璃容器</w:t>
      </w:r>
      <w:r>
        <w:rPr>
          <w:rFonts w:hint="eastAsia" w:hAnsi="宋体"/>
          <w:sz w:val="24"/>
          <w:szCs w:val="24"/>
        </w:rPr>
        <w:t>通则征求意见稿。</w:t>
      </w:r>
    </w:p>
    <w:sectPr>
      <w:headerReference r:id="rId5" w:type="first"/>
      <w:headerReference r:id="rId3" w:type="default"/>
      <w:footerReference r:id="rId6" w:type="default"/>
      <w:headerReference r:id="rId4" w:type="even"/>
      <w:endnotePr>
        <w:numFmt w:val="decimal"/>
      </w:endnotePr>
      <w:pgSz w:w="12240" w:h="15840"/>
      <w:pgMar w:top="1134" w:right="2552" w:bottom="1134" w:left="1701" w:header="720" w:footer="720" w:gutter="0"/>
      <w:lnNumType w:countBy="1" w:restart="continuous"/>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cs="Times New Roman"/>
      </w:rPr>
    </w:pPr>
    <w:r>
      <w:rPr>
        <w:rFonts w:ascii="华文仿宋" w:hAnsi="华文仿宋" w:eastAsia="华文仿宋" w:cs="华文仿宋"/>
        <w:sz w:val="21"/>
        <w:szCs w:val="21"/>
      </w:rPr>
      <w:fldChar w:fldCharType="begin"/>
    </w:r>
    <w:r>
      <w:rPr>
        <w:rFonts w:ascii="华文仿宋" w:hAnsi="华文仿宋" w:eastAsia="华文仿宋" w:cs="华文仿宋"/>
        <w:sz w:val="21"/>
        <w:szCs w:val="21"/>
      </w:rPr>
      <w:instrText xml:space="preserve"> PAGE   \* MERGEFORMAT </w:instrText>
    </w:r>
    <w:r>
      <w:rPr>
        <w:rFonts w:ascii="华文仿宋" w:hAnsi="华文仿宋" w:eastAsia="华文仿宋" w:cs="华文仿宋"/>
        <w:sz w:val="21"/>
        <w:szCs w:val="21"/>
      </w:rPr>
      <w:fldChar w:fldCharType="separate"/>
    </w:r>
    <w:r>
      <w:rPr>
        <w:rFonts w:ascii="华文仿宋" w:hAnsi="华文仿宋" w:eastAsia="华文仿宋" w:cs="华文仿宋"/>
        <w:sz w:val="21"/>
        <w:szCs w:val="21"/>
        <w:lang w:val="zh-CN"/>
      </w:rPr>
      <w:t>3</w:t>
    </w:r>
    <w:r>
      <w:rPr>
        <w:rFonts w:ascii="华文仿宋" w:hAnsi="华文仿宋" w:eastAsia="华文仿宋" w:cs="华文仿宋"/>
        <w:sz w:val="21"/>
        <w:szCs w:val="21"/>
      </w:rPr>
      <w:fldChar w:fldCharType="end"/>
    </w:r>
  </w:p>
  <w:p>
    <w:pPr>
      <w:pStyle w:val="9"/>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3993"/>
        <w:tab w:val="right" w:pos="7987"/>
        <w:tab w:val="clear" w:pos="4153"/>
        <w:tab w:val="clear" w:pos="8306"/>
      </w:tabs>
    </w:pPr>
    <w:r>
      <w:pict>
        <v:shape id="PowerPlusWaterMarkObject3945033" o:spid="_x0000_s2054" o:spt="136" type="#_x0000_t136" style="position:absolute;left:0pt;height:93.8pt;width:469.2pt;mso-position-horizontal:center;mso-position-horizontal-relative:margin;mso-position-vertical:center;mso-position-vertical-relative:margin;rotation:20643840f;z-index:-251654144;mso-width-relative:page;mso-height-relative:page;" fillcolor="#C0C0C0" filled="t" stroked="f" coordsize="21600,21600" o:allowincell="f">
          <v:path/>
          <v:fill on="t" opacity="32768f" focussize="0,0"/>
          <v:stroke on="f"/>
          <v:imagedata o:title=""/>
          <o:lock v:ext="edit"/>
          <v:textpath on="t" fitshape="t" fitpath="t" trim="f" xscale="f" string="征求意见稿" style="font-family:宋体;font-size:1pt;v-text-align:center;"/>
        </v:shape>
      </w:pict>
    </w:r>
    <w:r>
      <w:t xml:space="preserve">                                                                           </w:t>
    </w:r>
    <w:r>
      <w:rPr>
        <w:rFonts w:hint="eastAsia"/>
      </w:rPr>
      <w:t>2022年6</w:t>
    </w:r>
    <w:r>
      <w:t>月</w:t>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PowerPlusWaterMarkObject3945032" o:spid="_x0000_s2053" o:spt="136" type="#_x0000_t136" style="position:absolute;left:0pt;height:93.8pt;width:469.2pt;mso-position-horizontal:center;mso-position-horizontal-relative:margin;mso-position-vertical:center;mso-position-vertical-relative:margin;rotation:20643840f;z-index:-251655168;mso-width-relative:page;mso-height-relative:page;" fillcolor="#C0C0C0" filled="t" stroked="f" coordsize="21600,21600" o:allowincell="f">
          <v:path/>
          <v:fill on="t" opacity="32768f" focussize="0,0"/>
          <v:stroke on="f"/>
          <v:imagedata o:title=""/>
          <o:lock v:ext="edit"/>
          <v:textpath on="t" fitshape="t" fitpath="t" trim="f" xscale="f" string="征求意见稿" style="font-family:宋体;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PowerPlusWaterMarkObject3945031" o:spid="_x0000_s2052" o:spt="136" type="#_x0000_t136" style="position:absolute;left:0pt;height:93.8pt;width:469.2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f" xscale="f" string="征求意见稿" style="font-family:宋体;font-size:1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21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NmYmQ4N2ZiNWJhYzY2NGI4ZjAyNjk0YmUwODQ1ZGIifQ=="/>
  </w:docVars>
  <w:rsids>
    <w:rsidRoot w:val="00A4732B"/>
    <w:rsid w:val="00012A9D"/>
    <w:rsid w:val="00015814"/>
    <w:rsid w:val="00021213"/>
    <w:rsid w:val="00021A46"/>
    <w:rsid w:val="0002482F"/>
    <w:rsid w:val="00050ABA"/>
    <w:rsid w:val="0005156E"/>
    <w:rsid w:val="00051B62"/>
    <w:rsid w:val="000601A8"/>
    <w:rsid w:val="00074380"/>
    <w:rsid w:val="000775AE"/>
    <w:rsid w:val="000820D8"/>
    <w:rsid w:val="00084FD5"/>
    <w:rsid w:val="00097240"/>
    <w:rsid w:val="000A3B4E"/>
    <w:rsid w:val="000A4652"/>
    <w:rsid w:val="000A56A2"/>
    <w:rsid w:val="000B4C1A"/>
    <w:rsid w:val="000B6C95"/>
    <w:rsid w:val="000C5051"/>
    <w:rsid w:val="000F14A5"/>
    <w:rsid w:val="00101F14"/>
    <w:rsid w:val="00112744"/>
    <w:rsid w:val="00125A86"/>
    <w:rsid w:val="00130CCE"/>
    <w:rsid w:val="00132E56"/>
    <w:rsid w:val="001469BE"/>
    <w:rsid w:val="00152252"/>
    <w:rsid w:val="00155B91"/>
    <w:rsid w:val="001577A8"/>
    <w:rsid w:val="001705F3"/>
    <w:rsid w:val="00181905"/>
    <w:rsid w:val="00182D0C"/>
    <w:rsid w:val="00193EAF"/>
    <w:rsid w:val="001A5EBE"/>
    <w:rsid w:val="001B2A81"/>
    <w:rsid w:val="001B4C3E"/>
    <w:rsid w:val="001C3B74"/>
    <w:rsid w:val="001D5B59"/>
    <w:rsid w:val="001E36B7"/>
    <w:rsid w:val="001E43CF"/>
    <w:rsid w:val="001E7668"/>
    <w:rsid w:val="001F2CAA"/>
    <w:rsid w:val="001F5BCF"/>
    <w:rsid w:val="00202972"/>
    <w:rsid w:val="00206B5E"/>
    <w:rsid w:val="00206DCF"/>
    <w:rsid w:val="00211684"/>
    <w:rsid w:val="00222754"/>
    <w:rsid w:val="00242D6A"/>
    <w:rsid w:val="00245C5C"/>
    <w:rsid w:val="00245D42"/>
    <w:rsid w:val="0025131D"/>
    <w:rsid w:val="00255443"/>
    <w:rsid w:val="00255EFE"/>
    <w:rsid w:val="00262F09"/>
    <w:rsid w:val="00266913"/>
    <w:rsid w:val="00271C40"/>
    <w:rsid w:val="002744AB"/>
    <w:rsid w:val="00276022"/>
    <w:rsid w:val="00285E24"/>
    <w:rsid w:val="002A5F4B"/>
    <w:rsid w:val="002B7535"/>
    <w:rsid w:val="002C2460"/>
    <w:rsid w:val="002C465B"/>
    <w:rsid w:val="002D06AF"/>
    <w:rsid w:val="002D5037"/>
    <w:rsid w:val="002D76DF"/>
    <w:rsid w:val="002F18F2"/>
    <w:rsid w:val="0030548B"/>
    <w:rsid w:val="00307D05"/>
    <w:rsid w:val="00315205"/>
    <w:rsid w:val="00317372"/>
    <w:rsid w:val="003263DE"/>
    <w:rsid w:val="0033758F"/>
    <w:rsid w:val="003522DE"/>
    <w:rsid w:val="00354461"/>
    <w:rsid w:val="00356A05"/>
    <w:rsid w:val="00364BAA"/>
    <w:rsid w:val="003864D2"/>
    <w:rsid w:val="00393FCE"/>
    <w:rsid w:val="00397392"/>
    <w:rsid w:val="003A38F6"/>
    <w:rsid w:val="003B63C3"/>
    <w:rsid w:val="003C6ADB"/>
    <w:rsid w:val="003C75FE"/>
    <w:rsid w:val="003D1C1D"/>
    <w:rsid w:val="003D284D"/>
    <w:rsid w:val="003D3B73"/>
    <w:rsid w:val="003E055C"/>
    <w:rsid w:val="003E406F"/>
    <w:rsid w:val="003E52D6"/>
    <w:rsid w:val="003F1A18"/>
    <w:rsid w:val="003F46E1"/>
    <w:rsid w:val="00403FD5"/>
    <w:rsid w:val="00405357"/>
    <w:rsid w:val="00421238"/>
    <w:rsid w:val="0043287B"/>
    <w:rsid w:val="004354AB"/>
    <w:rsid w:val="00435FF4"/>
    <w:rsid w:val="00443A40"/>
    <w:rsid w:val="004456E7"/>
    <w:rsid w:val="00447DD1"/>
    <w:rsid w:val="00453861"/>
    <w:rsid w:val="004542D8"/>
    <w:rsid w:val="00466DA0"/>
    <w:rsid w:val="00494805"/>
    <w:rsid w:val="00496E00"/>
    <w:rsid w:val="00497AAC"/>
    <w:rsid w:val="004A39CC"/>
    <w:rsid w:val="004B4A9B"/>
    <w:rsid w:val="004D1836"/>
    <w:rsid w:val="004E3EA1"/>
    <w:rsid w:val="004E4D21"/>
    <w:rsid w:val="004E6F87"/>
    <w:rsid w:val="004E748E"/>
    <w:rsid w:val="004F53C9"/>
    <w:rsid w:val="00507976"/>
    <w:rsid w:val="00527BD2"/>
    <w:rsid w:val="00531461"/>
    <w:rsid w:val="0053211E"/>
    <w:rsid w:val="00536D43"/>
    <w:rsid w:val="00543149"/>
    <w:rsid w:val="00547E3C"/>
    <w:rsid w:val="0055110A"/>
    <w:rsid w:val="00570AF7"/>
    <w:rsid w:val="00577C18"/>
    <w:rsid w:val="0058652D"/>
    <w:rsid w:val="00594421"/>
    <w:rsid w:val="005A2F34"/>
    <w:rsid w:val="005A76B2"/>
    <w:rsid w:val="005B26EA"/>
    <w:rsid w:val="005C2792"/>
    <w:rsid w:val="005C4A22"/>
    <w:rsid w:val="005D39B6"/>
    <w:rsid w:val="005E3D7C"/>
    <w:rsid w:val="005F4773"/>
    <w:rsid w:val="00616C23"/>
    <w:rsid w:val="00617897"/>
    <w:rsid w:val="00621A38"/>
    <w:rsid w:val="00634E3E"/>
    <w:rsid w:val="00640BAD"/>
    <w:rsid w:val="00642E64"/>
    <w:rsid w:val="006503FB"/>
    <w:rsid w:val="00655DB5"/>
    <w:rsid w:val="006576EF"/>
    <w:rsid w:val="0066507A"/>
    <w:rsid w:val="00666690"/>
    <w:rsid w:val="00667EBE"/>
    <w:rsid w:val="00676338"/>
    <w:rsid w:val="006816C9"/>
    <w:rsid w:val="00683A01"/>
    <w:rsid w:val="00683B17"/>
    <w:rsid w:val="0068490A"/>
    <w:rsid w:val="00685D74"/>
    <w:rsid w:val="00690780"/>
    <w:rsid w:val="006A1FAE"/>
    <w:rsid w:val="006A6131"/>
    <w:rsid w:val="006B1F94"/>
    <w:rsid w:val="006B4F0C"/>
    <w:rsid w:val="006C5A18"/>
    <w:rsid w:val="006C64C9"/>
    <w:rsid w:val="006D476F"/>
    <w:rsid w:val="006E04E0"/>
    <w:rsid w:val="006E3EBE"/>
    <w:rsid w:val="006E68AE"/>
    <w:rsid w:val="00706F6A"/>
    <w:rsid w:val="00711418"/>
    <w:rsid w:val="00713D8C"/>
    <w:rsid w:val="00716C7B"/>
    <w:rsid w:val="00724E58"/>
    <w:rsid w:val="00753E58"/>
    <w:rsid w:val="00756FD6"/>
    <w:rsid w:val="007646F4"/>
    <w:rsid w:val="00764A64"/>
    <w:rsid w:val="00772194"/>
    <w:rsid w:val="00780F1B"/>
    <w:rsid w:val="007973B4"/>
    <w:rsid w:val="007A198F"/>
    <w:rsid w:val="007A77C7"/>
    <w:rsid w:val="007C1156"/>
    <w:rsid w:val="007C4612"/>
    <w:rsid w:val="007C51C5"/>
    <w:rsid w:val="007D10CC"/>
    <w:rsid w:val="007E10AB"/>
    <w:rsid w:val="007F7A8B"/>
    <w:rsid w:val="00800C4E"/>
    <w:rsid w:val="00814C8C"/>
    <w:rsid w:val="008166AD"/>
    <w:rsid w:val="00817D45"/>
    <w:rsid w:val="00817FD3"/>
    <w:rsid w:val="008271D8"/>
    <w:rsid w:val="00832827"/>
    <w:rsid w:val="00847034"/>
    <w:rsid w:val="00847D17"/>
    <w:rsid w:val="0085177C"/>
    <w:rsid w:val="00877A0B"/>
    <w:rsid w:val="00885B5E"/>
    <w:rsid w:val="008918FF"/>
    <w:rsid w:val="008A39AC"/>
    <w:rsid w:val="008B430F"/>
    <w:rsid w:val="008C214D"/>
    <w:rsid w:val="008D136A"/>
    <w:rsid w:val="008E668C"/>
    <w:rsid w:val="008F21B3"/>
    <w:rsid w:val="00906F90"/>
    <w:rsid w:val="00913A37"/>
    <w:rsid w:val="00914822"/>
    <w:rsid w:val="00915277"/>
    <w:rsid w:val="00923FDC"/>
    <w:rsid w:val="00926647"/>
    <w:rsid w:val="00930F16"/>
    <w:rsid w:val="00935FAA"/>
    <w:rsid w:val="00953410"/>
    <w:rsid w:val="00957182"/>
    <w:rsid w:val="00957C42"/>
    <w:rsid w:val="0096508F"/>
    <w:rsid w:val="009726F4"/>
    <w:rsid w:val="009727E6"/>
    <w:rsid w:val="009728AA"/>
    <w:rsid w:val="009835A8"/>
    <w:rsid w:val="00984988"/>
    <w:rsid w:val="00985B2F"/>
    <w:rsid w:val="00990BAA"/>
    <w:rsid w:val="00995DCE"/>
    <w:rsid w:val="009975F3"/>
    <w:rsid w:val="009A2B99"/>
    <w:rsid w:val="009B43DF"/>
    <w:rsid w:val="009C7881"/>
    <w:rsid w:val="009D0A22"/>
    <w:rsid w:val="009D4005"/>
    <w:rsid w:val="009E170D"/>
    <w:rsid w:val="009E5154"/>
    <w:rsid w:val="009E7092"/>
    <w:rsid w:val="009E7344"/>
    <w:rsid w:val="00A05B38"/>
    <w:rsid w:val="00A06A51"/>
    <w:rsid w:val="00A16B00"/>
    <w:rsid w:val="00A24C40"/>
    <w:rsid w:val="00A3310A"/>
    <w:rsid w:val="00A3442E"/>
    <w:rsid w:val="00A4732B"/>
    <w:rsid w:val="00A503AE"/>
    <w:rsid w:val="00A62A0B"/>
    <w:rsid w:val="00A758FA"/>
    <w:rsid w:val="00A81A8D"/>
    <w:rsid w:val="00A8508C"/>
    <w:rsid w:val="00A94A14"/>
    <w:rsid w:val="00AA6575"/>
    <w:rsid w:val="00AB00A4"/>
    <w:rsid w:val="00AC60B7"/>
    <w:rsid w:val="00AE4B2E"/>
    <w:rsid w:val="00AE4D72"/>
    <w:rsid w:val="00AE6906"/>
    <w:rsid w:val="00AF14FA"/>
    <w:rsid w:val="00B04439"/>
    <w:rsid w:val="00B102D2"/>
    <w:rsid w:val="00B24CB7"/>
    <w:rsid w:val="00B31F2D"/>
    <w:rsid w:val="00B415A7"/>
    <w:rsid w:val="00B47738"/>
    <w:rsid w:val="00B50E2F"/>
    <w:rsid w:val="00B5195E"/>
    <w:rsid w:val="00B55F90"/>
    <w:rsid w:val="00B60A11"/>
    <w:rsid w:val="00B61F5B"/>
    <w:rsid w:val="00B62F4E"/>
    <w:rsid w:val="00B942E1"/>
    <w:rsid w:val="00B94B78"/>
    <w:rsid w:val="00B95357"/>
    <w:rsid w:val="00B97192"/>
    <w:rsid w:val="00BA7B81"/>
    <w:rsid w:val="00BB3EB3"/>
    <w:rsid w:val="00BB3F7E"/>
    <w:rsid w:val="00BB48EF"/>
    <w:rsid w:val="00BC6E19"/>
    <w:rsid w:val="00BD0932"/>
    <w:rsid w:val="00BD42DF"/>
    <w:rsid w:val="00BD7EBD"/>
    <w:rsid w:val="00BE0BA8"/>
    <w:rsid w:val="00BE31F5"/>
    <w:rsid w:val="00BE3F76"/>
    <w:rsid w:val="00BE6B69"/>
    <w:rsid w:val="00BF772E"/>
    <w:rsid w:val="00C0359B"/>
    <w:rsid w:val="00C12CCE"/>
    <w:rsid w:val="00C21170"/>
    <w:rsid w:val="00C21CE3"/>
    <w:rsid w:val="00C25AFF"/>
    <w:rsid w:val="00C266AC"/>
    <w:rsid w:val="00C350F2"/>
    <w:rsid w:val="00C5062C"/>
    <w:rsid w:val="00C50D99"/>
    <w:rsid w:val="00C51000"/>
    <w:rsid w:val="00C800A7"/>
    <w:rsid w:val="00C806D0"/>
    <w:rsid w:val="00C8153B"/>
    <w:rsid w:val="00C8561E"/>
    <w:rsid w:val="00C905A3"/>
    <w:rsid w:val="00C91A9E"/>
    <w:rsid w:val="00C91EA5"/>
    <w:rsid w:val="00C932E3"/>
    <w:rsid w:val="00CA6D90"/>
    <w:rsid w:val="00CB3869"/>
    <w:rsid w:val="00CC0E81"/>
    <w:rsid w:val="00CD33A2"/>
    <w:rsid w:val="00CE0E95"/>
    <w:rsid w:val="00CE4E23"/>
    <w:rsid w:val="00CF026C"/>
    <w:rsid w:val="00D12793"/>
    <w:rsid w:val="00D221D1"/>
    <w:rsid w:val="00D257C3"/>
    <w:rsid w:val="00D30211"/>
    <w:rsid w:val="00D32755"/>
    <w:rsid w:val="00D33D18"/>
    <w:rsid w:val="00D3669B"/>
    <w:rsid w:val="00D42881"/>
    <w:rsid w:val="00D4696C"/>
    <w:rsid w:val="00D53CB6"/>
    <w:rsid w:val="00D6170E"/>
    <w:rsid w:val="00D61BB9"/>
    <w:rsid w:val="00D62862"/>
    <w:rsid w:val="00D81D4B"/>
    <w:rsid w:val="00D84AF0"/>
    <w:rsid w:val="00D93AEC"/>
    <w:rsid w:val="00D94CAD"/>
    <w:rsid w:val="00D95CD1"/>
    <w:rsid w:val="00D97F9F"/>
    <w:rsid w:val="00DA0FB8"/>
    <w:rsid w:val="00DC1ECE"/>
    <w:rsid w:val="00DE0063"/>
    <w:rsid w:val="00DE4EB1"/>
    <w:rsid w:val="00DE5DFC"/>
    <w:rsid w:val="00DE6727"/>
    <w:rsid w:val="00DF6694"/>
    <w:rsid w:val="00E035CC"/>
    <w:rsid w:val="00E16B66"/>
    <w:rsid w:val="00E261E3"/>
    <w:rsid w:val="00E31BF5"/>
    <w:rsid w:val="00E3643B"/>
    <w:rsid w:val="00E43BBD"/>
    <w:rsid w:val="00E45298"/>
    <w:rsid w:val="00E45BB7"/>
    <w:rsid w:val="00E46334"/>
    <w:rsid w:val="00E77286"/>
    <w:rsid w:val="00E83CFD"/>
    <w:rsid w:val="00E864E2"/>
    <w:rsid w:val="00E95B53"/>
    <w:rsid w:val="00EA4909"/>
    <w:rsid w:val="00EA590A"/>
    <w:rsid w:val="00EB0368"/>
    <w:rsid w:val="00EB4B81"/>
    <w:rsid w:val="00EC290F"/>
    <w:rsid w:val="00EC62CE"/>
    <w:rsid w:val="00ED08B2"/>
    <w:rsid w:val="00ED730B"/>
    <w:rsid w:val="00EE2DBC"/>
    <w:rsid w:val="00EF1C71"/>
    <w:rsid w:val="00EF36A5"/>
    <w:rsid w:val="00EF481A"/>
    <w:rsid w:val="00EF50D1"/>
    <w:rsid w:val="00F013C0"/>
    <w:rsid w:val="00F06313"/>
    <w:rsid w:val="00F16AEB"/>
    <w:rsid w:val="00F17A6E"/>
    <w:rsid w:val="00F24BA7"/>
    <w:rsid w:val="00F330D6"/>
    <w:rsid w:val="00F41812"/>
    <w:rsid w:val="00F45E68"/>
    <w:rsid w:val="00F53897"/>
    <w:rsid w:val="00F557CB"/>
    <w:rsid w:val="00F63948"/>
    <w:rsid w:val="00F742A0"/>
    <w:rsid w:val="00F80587"/>
    <w:rsid w:val="00F83E93"/>
    <w:rsid w:val="00F87752"/>
    <w:rsid w:val="00F95324"/>
    <w:rsid w:val="00F96010"/>
    <w:rsid w:val="00FA6CD1"/>
    <w:rsid w:val="00FC0659"/>
    <w:rsid w:val="00FC45FE"/>
    <w:rsid w:val="00FC77D2"/>
    <w:rsid w:val="0D66371C"/>
    <w:rsid w:val="334A208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name="toc 1" w:locked="1"/>
    <w:lsdException w:uiPriority="0" w:name="toc 2" w:locked="1"/>
    <w:lsdException w:uiPriority="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uiPriority="99" w:name="Normal Indent"/>
    <w:lsdException w:uiPriority="99" w:name="footnote text"/>
    <w:lsdException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uiPriority="99" w:name="page number"/>
    <w:lsdException w:qFormat="1" w:unhideWhenUsed="0" w:uiPriority="99" w:name="endnote reference"/>
    <w:lsdException w:unhideWhenUsed="0"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nhideWhenUsed="0"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18"/>
    <w:qFormat/>
    <w:uiPriority w:val="99"/>
    <w:pPr>
      <w:keepNext/>
      <w:keepLines/>
      <w:spacing w:line="360" w:lineRule="auto"/>
      <w:ind w:left="425" w:hanging="425"/>
      <w:outlineLvl w:val="1"/>
    </w:pPr>
    <w:rPr>
      <w:rFonts w:ascii="Calibri Light" w:hAnsi="Calibri Light" w:cs="Calibri Light"/>
      <w:b/>
      <w:bCs/>
      <w:kern w:val="0"/>
      <w:sz w:val="24"/>
      <w:szCs w:val="24"/>
    </w:rPr>
  </w:style>
  <w:style w:type="paragraph" w:styleId="3">
    <w:name w:val="heading 3"/>
    <w:basedOn w:val="1"/>
    <w:next w:val="1"/>
    <w:link w:val="19"/>
    <w:qFormat/>
    <w:uiPriority w:val="99"/>
    <w:pPr>
      <w:keepNext/>
      <w:keepLines/>
      <w:adjustRightInd w:val="0"/>
      <w:snapToGrid w:val="0"/>
      <w:spacing w:line="360" w:lineRule="auto"/>
      <w:ind w:left="425" w:hanging="425"/>
      <w:outlineLvl w:val="2"/>
    </w:pPr>
    <w:rPr>
      <w:rFonts w:ascii="Calibri" w:hAnsi="Calibri" w:cs="Calibri"/>
      <w:b/>
      <w:bCs/>
      <w:kern w:val="0"/>
      <w:sz w:val="24"/>
      <w:szCs w:val="24"/>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3"/>
    <w:semiHidden/>
    <w:uiPriority w:val="99"/>
    <w:pPr>
      <w:jc w:val="left"/>
    </w:pPr>
    <w:rPr>
      <w:kern w:val="0"/>
      <w:sz w:val="20"/>
      <w:szCs w:val="20"/>
    </w:rPr>
  </w:style>
  <w:style w:type="paragraph" w:styleId="5">
    <w:name w:val="Body Text"/>
    <w:basedOn w:val="1"/>
    <w:link w:val="28"/>
    <w:semiHidden/>
    <w:uiPriority w:val="99"/>
    <w:pPr>
      <w:autoSpaceDE w:val="0"/>
      <w:autoSpaceDN w:val="0"/>
      <w:adjustRightInd w:val="0"/>
      <w:spacing w:line="360" w:lineRule="auto"/>
      <w:ind w:left="425" w:hanging="425"/>
      <w:jc w:val="left"/>
    </w:pPr>
    <w:rPr>
      <w:color w:val="000000"/>
      <w:kern w:val="0"/>
      <w:sz w:val="20"/>
      <w:szCs w:val="20"/>
    </w:rPr>
  </w:style>
  <w:style w:type="paragraph" w:styleId="6">
    <w:name w:val="Plain Text"/>
    <w:basedOn w:val="1"/>
    <w:link w:val="22"/>
    <w:qFormat/>
    <w:uiPriority w:val="99"/>
    <w:rPr>
      <w:rFonts w:ascii="宋体" w:hAnsi="Courier New" w:cs="宋体"/>
      <w:kern w:val="0"/>
      <w:sz w:val="20"/>
      <w:szCs w:val="20"/>
    </w:rPr>
  </w:style>
  <w:style w:type="paragraph" w:styleId="7">
    <w:name w:val="endnote text"/>
    <w:basedOn w:val="1"/>
    <w:link w:val="27"/>
    <w:semiHidden/>
    <w:uiPriority w:val="99"/>
    <w:pPr>
      <w:snapToGrid w:val="0"/>
      <w:spacing w:line="360" w:lineRule="auto"/>
      <w:ind w:left="425" w:hanging="425"/>
      <w:jc w:val="left"/>
    </w:pPr>
    <w:rPr>
      <w:kern w:val="0"/>
      <w:sz w:val="20"/>
      <w:szCs w:val="20"/>
    </w:rPr>
  </w:style>
  <w:style w:type="paragraph" w:styleId="8">
    <w:name w:val="Balloon Text"/>
    <w:basedOn w:val="1"/>
    <w:link w:val="24"/>
    <w:semiHidden/>
    <w:uiPriority w:val="99"/>
    <w:rPr>
      <w:kern w:val="0"/>
      <w:sz w:val="18"/>
      <w:szCs w:val="18"/>
    </w:rPr>
  </w:style>
  <w:style w:type="paragraph" w:styleId="9">
    <w:name w:val="footer"/>
    <w:basedOn w:val="1"/>
    <w:link w:val="21"/>
    <w:qFormat/>
    <w:uiPriority w:val="99"/>
    <w:pPr>
      <w:tabs>
        <w:tab w:val="center" w:pos="4153"/>
        <w:tab w:val="right" w:pos="8306"/>
      </w:tabs>
      <w:snapToGrid w:val="0"/>
      <w:jc w:val="left"/>
    </w:pPr>
    <w:rPr>
      <w:rFonts w:ascii="Calibri" w:hAnsi="Calibri" w:cs="Calibri"/>
      <w:kern w:val="0"/>
      <w:sz w:val="18"/>
      <w:szCs w:val="18"/>
    </w:rPr>
  </w:style>
  <w:style w:type="paragraph" w:styleId="10">
    <w:name w:val="header"/>
    <w:basedOn w:val="1"/>
    <w:link w:val="20"/>
    <w:qFormat/>
    <w:uiPriority w:val="99"/>
    <w:pPr>
      <w:pBdr>
        <w:bottom w:val="single" w:color="auto" w:sz="6" w:space="1"/>
      </w:pBdr>
      <w:tabs>
        <w:tab w:val="center" w:pos="4153"/>
        <w:tab w:val="right" w:pos="8306"/>
      </w:tabs>
      <w:snapToGrid w:val="0"/>
      <w:jc w:val="center"/>
    </w:pPr>
    <w:rPr>
      <w:rFonts w:ascii="Calibri" w:hAnsi="Calibri" w:cs="Calibri"/>
      <w:kern w:val="0"/>
      <w:sz w:val="18"/>
      <w:szCs w:val="18"/>
    </w:rPr>
  </w:style>
  <w:style w:type="paragraph" w:styleId="11">
    <w:name w:val="annotation subject"/>
    <w:basedOn w:val="4"/>
    <w:next w:val="4"/>
    <w:link w:val="25"/>
    <w:semiHidden/>
    <w:uiPriority w:val="99"/>
    <w:rPr>
      <w:b/>
      <w:bCs/>
    </w:rPr>
  </w:style>
  <w:style w:type="table" w:styleId="13">
    <w:name w:val="Table Grid"/>
    <w:basedOn w:val="12"/>
    <w:uiPriority w:val="99"/>
    <w:pPr>
      <w:spacing w:line="360" w:lineRule="auto"/>
      <w:ind w:left="425" w:hanging="425"/>
      <w:jc w:val="both"/>
    </w:pPr>
    <w:rPr>
      <w:rFonts w:cs="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endnote reference"/>
    <w:semiHidden/>
    <w:qFormat/>
    <w:uiPriority w:val="99"/>
    <w:rPr>
      <w:vertAlign w:val="superscript"/>
    </w:rPr>
  </w:style>
  <w:style w:type="character" w:styleId="16">
    <w:name w:val="line number"/>
    <w:basedOn w:val="14"/>
    <w:semiHidden/>
    <w:unhideWhenUsed/>
    <w:uiPriority w:val="99"/>
  </w:style>
  <w:style w:type="character" w:styleId="17">
    <w:name w:val="annotation reference"/>
    <w:semiHidden/>
    <w:uiPriority w:val="99"/>
    <w:rPr>
      <w:sz w:val="21"/>
      <w:szCs w:val="21"/>
    </w:rPr>
  </w:style>
  <w:style w:type="character" w:customStyle="1" w:styleId="18">
    <w:name w:val="标题 2 字符"/>
    <w:link w:val="2"/>
    <w:semiHidden/>
    <w:qFormat/>
    <w:locked/>
    <w:uiPriority w:val="99"/>
    <w:rPr>
      <w:rFonts w:ascii="Calibri Light" w:hAnsi="Calibri Light" w:eastAsia="宋体" w:cs="Calibri Light"/>
      <w:b/>
      <w:bCs/>
      <w:sz w:val="32"/>
      <w:szCs w:val="32"/>
    </w:rPr>
  </w:style>
  <w:style w:type="character" w:customStyle="1" w:styleId="19">
    <w:name w:val="标题 3 字符"/>
    <w:link w:val="3"/>
    <w:qFormat/>
    <w:locked/>
    <w:uiPriority w:val="99"/>
    <w:rPr>
      <w:b/>
      <w:bCs/>
      <w:sz w:val="32"/>
      <w:szCs w:val="32"/>
    </w:rPr>
  </w:style>
  <w:style w:type="character" w:customStyle="1" w:styleId="20">
    <w:name w:val="页眉 字符"/>
    <w:link w:val="10"/>
    <w:qFormat/>
    <w:locked/>
    <w:uiPriority w:val="99"/>
    <w:rPr>
      <w:sz w:val="18"/>
      <w:szCs w:val="18"/>
    </w:rPr>
  </w:style>
  <w:style w:type="character" w:customStyle="1" w:styleId="21">
    <w:name w:val="页脚 字符"/>
    <w:link w:val="9"/>
    <w:locked/>
    <w:uiPriority w:val="99"/>
    <w:rPr>
      <w:sz w:val="18"/>
      <w:szCs w:val="18"/>
    </w:rPr>
  </w:style>
  <w:style w:type="character" w:customStyle="1" w:styleId="22">
    <w:name w:val="纯文本 字符"/>
    <w:link w:val="6"/>
    <w:locked/>
    <w:uiPriority w:val="99"/>
    <w:rPr>
      <w:rFonts w:ascii="宋体" w:hAnsi="Courier New" w:eastAsia="宋体" w:cs="宋体"/>
      <w:sz w:val="20"/>
      <w:szCs w:val="20"/>
    </w:rPr>
  </w:style>
  <w:style w:type="character" w:customStyle="1" w:styleId="23">
    <w:name w:val="批注文字 字符"/>
    <w:link w:val="4"/>
    <w:locked/>
    <w:uiPriority w:val="99"/>
    <w:rPr>
      <w:rFonts w:ascii="Times New Roman" w:hAnsi="Times New Roman" w:eastAsia="宋体" w:cs="Times New Roman"/>
      <w:sz w:val="20"/>
      <w:szCs w:val="20"/>
    </w:rPr>
  </w:style>
  <w:style w:type="character" w:customStyle="1" w:styleId="24">
    <w:name w:val="批注框文本 字符"/>
    <w:link w:val="8"/>
    <w:semiHidden/>
    <w:locked/>
    <w:uiPriority w:val="99"/>
    <w:rPr>
      <w:rFonts w:ascii="Times New Roman" w:hAnsi="Times New Roman" w:eastAsia="宋体" w:cs="Times New Roman"/>
      <w:sz w:val="18"/>
      <w:szCs w:val="18"/>
    </w:rPr>
  </w:style>
  <w:style w:type="character" w:customStyle="1" w:styleId="25">
    <w:name w:val="批注主题 字符"/>
    <w:link w:val="11"/>
    <w:semiHidden/>
    <w:locked/>
    <w:uiPriority w:val="99"/>
    <w:rPr>
      <w:rFonts w:ascii="Times New Roman" w:hAnsi="Times New Roman" w:eastAsia="宋体" w:cs="Times New Roman"/>
      <w:b/>
      <w:bCs/>
      <w:sz w:val="20"/>
      <w:szCs w:val="20"/>
    </w:rPr>
  </w:style>
  <w:style w:type="paragraph" w:customStyle="1" w:styleId="26">
    <w:name w:val="修订1"/>
    <w:hidden/>
    <w:semiHidden/>
    <w:qFormat/>
    <w:uiPriority w:val="99"/>
    <w:rPr>
      <w:rFonts w:ascii="Times New Roman" w:hAnsi="Times New Roman" w:eastAsia="宋体" w:cs="Times New Roman"/>
      <w:kern w:val="2"/>
      <w:sz w:val="21"/>
      <w:szCs w:val="21"/>
      <w:lang w:val="en-US" w:eastAsia="zh-CN" w:bidi="ar-SA"/>
    </w:rPr>
  </w:style>
  <w:style w:type="character" w:customStyle="1" w:styleId="27">
    <w:name w:val="尾注文本 字符"/>
    <w:link w:val="7"/>
    <w:semiHidden/>
    <w:locked/>
    <w:uiPriority w:val="99"/>
    <w:rPr>
      <w:rFonts w:ascii="Times New Roman" w:hAnsi="Times New Roman" w:eastAsia="宋体" w:cs="Times New Roman"/>
      <w:sz w:val="20"/>
      <w:szCs w:val="20"/>
    </w:rPr>
  </w:style>
  <w:style w:type="character" w:customStyle="1" w:styleId="28">
    <w:name w:val="正文文本 字符"/>
    <w:link w:val="5"/>
    <w:semiHidden/>
    <w:locked/>
    <w:uiPriority w:val="99"/>
    <w:rPr>
      <w:rFonts w:ascii="Times New Roman" w:hAnsi="Times New Roman" w:eastAsia="宋体" w:cs="Times New Roman"/>
      <w:color w:val="000000"/>
      <w:kern w:val="0"/>
      <w:sz w:val="20"/>
      <w:szCs w:val="20"/>
    </w:rPr>
  </w:style>
  <w:style w:type="paragraph" w:styleId="29">
    <w:name w:val="List Paragraph"/>
    <w:basedOn w:val="1"/>
    <w:qFormat/>
    <w:uiPriority w:val="99"/>
    <w:pPr>
      <w:spacing w:line="360" w:lineRule="auto"/>
      <w:ind w:left="425" w:firstLine="420" w:firstLineChars="200"/>
    </w:pPr>
    <w:rPr>
      <w:rFonts w:ascii="Calibri" w:hAnsi="Calibri" w:cs="Calibri"/>
    </w:rPr>
  </w:style>
  <w:style w:type="paragraph" w:customStyle="1" w:styleId="30">
    <w:name w:val="列出段落1"/>
    <w:basedOn w:val="1"/>
    <w:uiPriority w:val="99"/>
    <w:pPr>
      <w:spacing w:line="360" w:lineRule="auto"/>
      <w:ind w:left="425" w:firstLine="420" w:firstLineChars="200"/>
    </w:pPr>
    <w:rPr>
      <w:rFonts w:ascii="Calibri" w:hAnsi="Calibri" w:cs="Calibri"/>
    </w:rPr>
  </w:style>
  <w:style w:type="character" w:customStyle="1" w:styleId="31">
    <w:name w:val="apple-converted-space"/>
    <w:basedOn w:val="14"/>
    <w:qFormat/>
    <w:uiPriority w:val="99"/>
  </w:style>
  <w:style w:type="paragraph" w:customStyle="1" w:styleId="32">
    <w:name w:val="Normal_0"/>
    <w:qFormat/>
    <w:uiPriority w:val="0"/>
    <w:pPr>
      <w:spacing w:before="120" w:after="240"/>
      <w:jc w:val="both"/>
    </w:pPr>
    <w:rPr>
      <w:rFonts w:ascii="Times New Roman" w:hAnsi="Times New Roman" w:eastAsia="Times New Roman" w:cs="Times New Roman"/>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4"/>
    <customShpInfo spid="_x0000_s2053"/>
    <customShpInfo spid="_x0000_s2052"/>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329EFA-E08D-482D-A6AC-8C3C8E6E4F1E}">
  <ds:schemaRefs/>
</ds:datastoreItem>
</file>

<file path=docProps/app.xml><?xml version="1.0" encoding="utf-8"?>
<Properties xmlns="http://schemas.openxmlformats.org/officeDocument/2006/extended-properties" xmlns:vt="http://schemas.openxmlformats.org/officeDocument/2006/docPropsVTypes">
  <Template>Normal.dotm</Template>
  <Company>sidc</Company>
  <Pages>4</Pages>
  <Words>1892</Words>
  <Characters>1982</Characters>
  <Lines>14</Lines>
  <Paragraphs>4</Paragraphs>
  <TotalTime>225</TotalTime>
  <ScaleCrop>false</ScaleCrop>
  <LinksUpToDate>false</LinksUpToDate>
  <CharactersWithSpaces>2008</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2022-06-07T00:23:00Z</dcterms:created>
  <dc:creator>Fan Yiling</dc:creator>
  <cp:lastModifiedBy>姜恒</cp:lastModifiedBy>
  <cp:lastPrinted>2022-06-17T05:26:00Z</cp:lastPrinted>
  <dcterms:modified xsi:type="dcterms:W3CDTF">2022-06-29T07:33:54Z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BAB753F3203E45BBB62DCCAA6E52EFA5</vt:lpwstr>
  </property>
</Properties>
</file>